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41A464">
      <w:pPr>
        <w:keepNext w:val="0"/>
        <w:keepLines w:val="0"/>
        <w:pageBreakBefore w:val="0"/>
        <w:widowControl/>
        <w:shd w:val="clear" w:color="auto" w:fill="auto"/>
        <w:kinsoku w:val="0"/>
        <w:wordWrap/>
        <w:overflowPunct/>
        <w:topLinePunct w:val="0"/>
        <w:autoSpaceDE w:val="0"/>
        <w:autoSpaceDN w:val="0"/>
        <w:bidi w:val="0"/>
        <w:adjustRightInd w:val="0"/>
        <w:snapToGrid w:val="0"/>
        <w:spacing w:line="480" w:lineRule="exact"/>
        <w:ind w:firstLine="723" w:firstLineChars="200"/>
        <w:jc w:val="center"/>
        <w:textAlignment w:val="baseline"/>
        <w:outlineLvl w:val="0"/>
        <w:rPr>
          <w:b/>
          <w:sz w:val="36"/>
          <w:highlight w:val="none"/>
        </w:rPr>
      </w:pPr>
      <w:bookmarkStart w:id="0" w:name="_Toc5723"/>
      <w:bookmarkStart w:id="1" w:name="_Toc30962"/>
      <w:r>
        <w:rPr>
          <w:b/>
          <w:sz w:val="36"/>
          <w:highlight w:val="none"/>
        </w:rPr>
        <w:t>第</w:t>
      </w:r>
      <w:r>
        <w:rPr>
          <w:rFonts w:hint="eastAsia" w:ascii="Calibri" w:eastAsia="宋体"/>
          <w:b/>
          <w:sz w:val="36"/>
          <w:highlight w:val="none"/>
          <w:lang w:val="en-US" w:eastAsia="zh-CN"/>
        </w:rPr>
        <w:t>八</w:t>
      </w:r>
      <w:r>
        <w:rPr>
          <w:b/>
          <w:sz w:val="36"/>
          <w:highlight w:val="none"/>
        </w:rPr>
        <w:t>章</w:t>
      </w:r>
      <w:r>
        <w:rPr>
          <w:rFonts w:hint="eastAsia" w:ascii="Calibri" w:eastAsia="宋体"/>
          <w:b/>
          <w:sz w:val="36"/>
          <w:highlight w:val="none"/>
          <w:lang w:val="en-US" w:eastAsia="zh-CN"/>
        </w:rPr>
        <w:t xml:space="preserve"> </w:t>
      </w:r>
      <w:bookmarkStart w:id="2" w:name="_GoBack"/>
      <w:r>
        <w:rPr>
          <w:b/>
          <w:sz w:val="36"/>
          <w:highlight w:val="none"/>
        </w:rPr>
        <w:t>拟签订采购合同文本</w:t>
      </w:r>
      <w:bookmarkEnd w:id="2"/>
      <w:bookmarkEnd w:id="0"/>
      <w:bookmarkEnd w:id="1"/>
    </w:p>
    <w:p w14:paraId="13E050B2">
      <w:pPr>
        <w:jc w:val="center"/>
        <w:rPr>
          <w:rFonts w:hint="eastAsia" w:ascii="宋体" w:hAnsi="宋体" w:eastAsia="宋体" w:cs="宋体"/>
          <w:b/>
          <w:sz w:val="20"/>
          <w:highlight w:val="none"/>
          <w:lang w:val="zh-CN"/>
        </w:rPr>
      </w:pPr>
      <w:r>
        <w:rPr>
          <w:rFonts w:hint="eastAsia" w:ascii="宋体" w:hAnsi="宋体" w:eastAsia="宋体" w:cs="宋体"/>
          <w:b/>
          <w:sz w:val="20"/>
          <w:highlight w:val="none"/>
          <w:lang w:val="zh-CN"/>
        </w:rPr>
        <w:t>（此合同草案条款，最终签订的合同以采购人确定的合同内容为准）</w:t>
      </w:r>
    </w:p>
    <w:p w14:paraId="4DC2B3F9">
      <w:pPr>
        <w:jc w:val="left"/>
        <w:rPr>
          <w:rFonts w:ascii="Times New Roman" w:hAnsi="Times New Roman" w:eastAsia="黑体" w:cs="Times New Roman"/>
          <w:b/>
          <w:sz w:val="44"/>
          <w:szCs w:val="44"/>
          <w:highlight w:val="none"/>
        </w:rPr>
      </w:pPr>
    </w:p>
    <w:p w14:paraId="5E2A8EF6">
      <w:pPr>
        <w:jc w:val="left"/>
        <w:rPr>
          <w:rFonts w:ascii="Times New Roman" w:hAnsi="Times New Roman" w:eastAsia="黑体" w:cs="Times New Roman"/>
          <w:b/>
          <w:sz w:val="44"/>
          <w:szCs w:val="44"/>
          <w:highlight w:val="none"/>
        </w:rPr>
      </w:pPr>
    </w:p>
    <w:p w14:paraId="290BD282">
      <w:pPr>
        <w:jc w:val="left"/>
        <w:rPr>
          <w:rFonts w:ascii="Times New Roman" w:hAnsi="Times New Roman" w:eastAsia="黑体" w:cs="Times New Roman"/>
          <w:b/>
          <w:sz w:val="44"/>
          <w:szCs w:val="44"/>
          <w:highlight w:val="none"/>
        </w:rPr>
      </w:pPr>
    </w:p>
    <w:p w14:paraId="6139D00D">
      <w:pPr>
        <w:jc w:val="left"/>
        <w:rPr>
          <w:rFonts w:ascii="Times New Roman" w:hAnsi="Times New Roman" w:eastAsia="黑体" w:cs="Times New Roman"/>
          <w:b/>
          <w:sz w:val="44"/>
          <w:szCs w:val="44"/>
          <w:highlight w:val="none"/>
        </w:rPr>
      </w:pPr>
    </w:p>
    <w:p w14:paraId="40A9F6AF">
      <w:pPr>
        <w:jc w:val="center"/>
        <w:rPr>
          <w:rFonts w:ascii="Times New Roman" w:hAnsi="Times New Roman" w:eastAsia="华文中宋" w:cs="Times New Roman"/>
          <w:b/>
          <w:sz w:val="48"/>
          <w:szCs w:val="48"/>
          <w:highlight w:val="none"/>
        </w:rPr>
      </w:pPr>
      <w:r>
        <w:rPr>
          <w:rFonts w:ascii="Times New Roman" w:hAnsi="Times New Roman" w:eastAsia="华文中宋" w:cs="Times New Roman"/>
          <w:b/>
          <w:sz w:val="48"/>
          <w:szCs w:val="48"/>
          <w:highlight w:val="none"/>
        </w:rPr>
        <w:t>污水处理站运维项目</w:t>
      </w:r>
    </w:p>
    <w:p w14:paraId="2C840E64">
      <w:pPr>
        <w:jc w:val="center"/>
        <w:rPr>
          <w:rFonts w:ascii="Times New Roman" w:hAnsi="Times New Roman" w:eastAsia="华文中宋" w:cs="Times New Roman"/>
          <w:b/>
          <w:sz w:val="52"/>
          <w:szCs w:val="52"/>
          <w:highlight w:val="none"/>
        </w:rPr>
      </w:pPr>
    </w:p>
    <w:p w14:paraId="0F2C058D">
      <w:pPr>
        <w:jc w:val="center"/>
        <w:rPr>
          <w:rFonts w:ascii="Times New Roman" w:hAnsi="Times New Roman" w:eastAsia="华文中宋" w:cs="Times New Roman"/>
          <w:b/>
          <w:sz w:val="52"/>
          <w:szCs w:val="52"/>
          <w:highlight w:val="none"/>
        </w:rPr>
      </w:pPr>
    </w:p>
    <w:p w14:paraId="7DFB2483">
      <w:pPr>
        <w:jc w:val="center"/>
        <w:rPr>
          <w:rFonts w:ascii="Times New Roman" w:hAnsi="Times New Roman" w:eastAsia="华文中宋" w:cs="Times New Roman"/>
          <w:b/>
          <w:sz w:val="28"/>
          <w:szCs w:val="28"/>
          <w:highlight w:val="none"/>
        </w:rPr>
      </w:pPr>
      <w:r>
        <w:rPr>
          <w:rFonts w:hint="eastAsia" w:ascii="Times New Roman" w:hAnsi="Times New Roman" w:eastAsia="华文中宋" w:cs="Times New Roman"/>
          <w:b/>
          <w:sz w:val="52"/>
          <w:szCs w:val="52"/>
          <w:highlight w:val="none"/>
          <w:lang w:val="en-US" w:eastAsia="zh-CN"/>
        </w:rPr>
        <w:t>外包服务</w:t>
      </w:r>
      <w:r>
        <w:rPr>
          <w:rFonts w:ascii="Times New Roman" w:hAnsi="Times New Roman" w:eastAsia="华文中宋" w:cs="Times New Roman"/>
          <w:b/>
          <w:sz w:val="52"/>
          <w:szCs w:val="52"/>
          <w:highlight w:val="none"/>
        </w:rPr>
        <w:t>合同书</w:t>
      </w:r>
    </w:p>
    <w:p w14:paraId="770AAF40">
      <w:pPr>
        <w:rPr>
          <w:rFonts w:ascii="Times New Roman" w:hAnsi="Times New Roman" w:eastAsia="华文中宋" w:cs="Times New Roman"/>
          <w:b/>
          <w:sz w:val="28"/>
          <w:szCs w:val="28"/>
          <w:highlight w:val="none"/>
        </w:rPr>
      </w:pPr>
    </w:p>
    <w:p w14:paraId="382B232D">
      <w:pPr>
        <w:jc w:val="left"/>
        <w:rPr>
          <w:rFonts w:ascii="Times New Roman" w:hAnsi="Times New Roman" w:eastAsia="华文中宋" w:cs="Times New Roman"/>
          <w:b/>
          <w:sz w:val="28"/>
          <w:szCs w:val="28"/>
          <w:highlight w:val="none"/>
        </w:rPr>
      </w:pPr>
    </w:p>
    <w:p w14:paraId="778D4F6E">
      <w:pPr>
        <w:rPr>
          <w:rFonts w:ascii="Times New Roman" w:hAnsi="Times New Roman" w:eastAsia="华文中宋" w:cs="Times New Roman"/>
          <w:b/>
          <w:sz w:val="28"/>
          <w:szCs w:val="28"/>
          <w:highlight w:val="none"/>
        </w:rPr>
      </w:pPr>
    </w:p>
    <w:p w14:paraId="088B29E6">
      <w:pPr>
        <w:rPr>
          <w:rFonts w:ascii="Times New Roman" w:hAnsi="Times New Roman" w:eastAsia="华文中宋" w:cs="Times New Roman"/>
          <w:b/>
          <w:sz w:val="28"/>
          <w:szCs w:val="28"/>
          <w:highlight w:val="none"/>
        </w:rPr>
      </w:pPr>
    </w:p>
    <w:p w14:paraId="3959BB66">
      <w:pPr>
        <w:rPr>
          <w:rFonts w:ascii="Times New Roman" w:hAnsi="Times New Roman" w:eastAsia="华文中宋" w:cs="Times New Roman"/>
          <w:b/>
          <w:sz w:val="28"/>
          <w:szCs w:val="28"/>
          <w:highlight w:val="none"/>
        </w:rPr>
      </w:pPr>
    </w:p>
    <w:p w14:paraId="665123F6">
      <w:pPr>
        <w:rPr>
          <w:rFonts w:ascii="Times New Roman" w:hAnsi="Times New Roman" w:eastAsia="华文中宋" w:cs="Times New Roman"/>
          <w:b/>
          <w:sz w:val="28"/>
          <w:szCs w:val="28"/>
          <w:highlight w:val="none"/>
        </w:rPr>
      </w:pPr>
    </w:p>
    <w:p w14:paraId="337801E2">
      <w:pPr>
        <w:ind w:firstLine="1205" w:firstLineChars="400"/>
        <w:rPr>
          <w:rFonts w:ascii="Times New Roman" w:hAnsi="Times New Roman" w:eastAsia="华文中宋" w:cs="Times New Roman"/>
          <w:b/>
          <w:sz w:val="30"/>
          <w:szCs w:val="30"/>
          <w:highlight w:val="none"/>
          <w:u w:val="single"/>
        </w:rPr>
      </w:pPr>
      <w:r>
        <w:rPr>
          <w:rFonts w:hint="eastAsia" w:ascii="Times New Roman" w:hAnsi="Times New Roman" w:eastAsia="华文中宋" w:cs="Times New Roman"/>
          <w:b/>
          <w:sz w:val="30"/>
          <w:szCs w:val="30"/>
          <w:highlight w:val="none"/>
        </w:rPr>
        <w:t xml:space="preserve">  </w:t>
      </w:r>
      <w:r>
        <w:rPr>
          <w:rFonts w:ascii="Times New Roman" w:hAnsi="Times New Roman" w:eastAsia="华文中宋" w:cs="Times New Roman"/>
          <w:b/>
          <w:sz w:val="30"/>
          <w:szCs w:val="30"/>
          <w:highlight w:val="none"/>
        </w:rPr>
        <w:t>甲    方：</w:t>
      </w:r>
      <w:r>
        <w:rPr>
          <w:rFonts w:ascii="Times New Roman" w:hAnsi="Times New Roman" w:eastAsia="华文中宋" w:cs="Times New Roman"/>
          <w:b/>
          <w:sz w:val="30"/>
          <w:szCs w:val="30"/>
          <w:highlight w:val="none"/>
          <w:u w:val="single"/>
        </w:rPr>
        <w:t xml:space="preserve"> </w:t>
      </w:r>
      <w:r>
        <w:rPr>
          <w:rFonts w:hint="eastAsia" w:ascii="Times New Roman" w:hAnsi="Times New Roman" w:eastAsia="华文中宋" w:cs="Times New Roman"/>
          <w:b/>
          <w:sz w:val="30"/>
          <w:szCs w:val="30"/>
          <w:highlight w:val="none"/>
          <w:u w:val="single"/>
        </w:rPr>
        <w:t xml:space="preserve">                       </w:t>
      </w:r>
    </w:p>
    <w:p w14:paraId="04CC187B">
      <w:pPr>
        <w:ind w:firstLine="1506" w:firstLineChars="500"/>
        <w:rPr>
          <w:rFonts w:eastAsia="华文中宋"/>
          <w:b/>
          <w:sz w:val="30"/>
          <w:szCs w:val="30"/>
          <w:highlight w:val="none"/>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ascii="Times New Roman" w:hAnsi="Times New Roman" w:eastAsia="华文中宋" w:cs="Times New Roman"/>
          <w:b/>
          <w:sz w:val="30"/>
          <w:szCs w:val="30"/>
          <w:highlight w:val="none"/>
        </w:rPr>
        <w:t>乙    方：</w:t>
      </w:r>
      <w:r>
        <w:rPr>
          <w:rFonts w:ascii="Times New Roman" w:hAnsi="Times New Roman" w:eastAsia="华文中宋" w:cs="Times New Roman"/>
          <w:b/>
          <w:sz w:val="30"/>
          <w:szCs w:val="30"/>
          <w:highlight w:val="none"/>
          <w:u w:val="single"/>
        </w:rPr>
        <w:t xml:space="preserve">  </w:t>
      </w:r>
      <w:r>
        <w:rPr>
          <w:rFonts w:hint="eastAsia" w:ascii="Times New Roman" w:hAnsi="Times New Roman" w:eastAsia="华文中宋" w:cs="Times New Roman"/>
          <w:b/>
          <w:sz w:val="30"/>
          <w:szCs w:val="30"/>
          <w:highlight w:val="none"/>
          <w:u w:val="single"/>
        </w:rPr>
        <w:t xml:space="preserve">                      </w:t>
      </w:r>
    </w:p>
    <w:p w14:paraId="780414A7">
      <w:pPr>
        <w:keepNext w:val="0"/>
        <w:keepLines w:val="0"/>
        <w:pageBreakBefore w:val="0"/>
        <w:widowControl w:val="0"/>
        <w:kinsoku/>
        <w:wordWrap/>
        <w:overflowPunct/>
        <w:topLinePunct w:val="0"/>
        <w:autoSpaceDE/>
        <w:autoSpaceDN/>
        <w:bidi w:val="0"/>
        <w:spacing w:before="0" w:line="500" w:lineRule="exact"/>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甲方：西安市第八医院</w:t>
      </w:r>
    </w:p>
    <w:p w14:paraId="7F5846A4">
      <w:pPr>
        <w:keepNext w:val="0"/>
        <w:keepLines w:val="0"/>
        <w:pageBreakBefore w:val="0"/>
        <w:widowControl w:val="0"/>
        <w:kinsoku/>
        <w:wordWrap/>
        <w:overflowPunct/>
        <w:topLinePunct w:val="0"/>
        <w:autoSpaceDE/>
        <w:autoSpaceDN/>
        <w:bidi w:val="0"/>
        <w:spacing w:before="0" w:line="500" w:lineRule="exact"/>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乙方：</w:t>
      </w:r>
    </w:p>
    <w:p w14:paraId="39D35C36">
      <w:pPr>
        <w:keepNext w:val="0"/>
        <w:keepLines w:val="0"/>
        <w:pageBreakBefore w:val="0"/>
        <w:kinsoku/>
        <w:wordWrap/>
        <w:overflowPunct/>
        <w:topLinePunct w:val="0"/>
        <w:autoSpaceDE/>
        <w:autoSpaceDN/>
        <w:bidi w:val="0"/>
        <w:spacing w:line="500" w:lineRule="exact"/>
        <w:ind w:firstLine="52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为提高污水处理设施运行效率，保护水资源环境，甲乙双方根据《中华人民共和国政府采购法》、《中华人民共和国民法典》《中华人民共和国环境保护法》、以及</w:t>
      </w:r>
      <w:r>
        <w:rPr>
          <w:rFonts w:hint="eastAsia" w:ascii="宋体" w:hAnsi="宋体" w:eastAsia="宋体" w:cs="宋体"/>
          <w:color w:val="auto"/>
          <w:sz w:val="24"/>
          <w:szCs w:val="24"/>
          <w:highlight w:val="none"/>
        </w:rPr>
        <w:t>国家生态环境部有关环保设施运营管理的规定及其他有关法律法规，</w:t>
      </w:r>
      <w:r>
        <w:rPr>
          <w:rFonts w:hint="eastAsia" w:ascii="宋体" w:hAnsi="宋体" w:eastAsia="宋体" w:cs="宋体"/>
          <w:color w:val="auto"/>
          <w:spacing w:val="10"/>
          <w:sz w:val="24"/>
          <w:szCs w:val="24"/>
          <w:highlight w:val="none"/>
        </w:rPr>
        <w:t>遵循平等、自愿、公平和诚实信用的原则，就</w:t>
      </w:r>
      <w:r>
        <w:rPr>
          <w:rFonts w:hint="eastAsia" w:ascii="宋体" w:hAnsi="宋体" w:eastAsia="宋体" w:cs="宋体"/>
          <w:color w:val="auto"/>
          <w:sz w:val="24"/>
          <w:szCs w:val="24"/>
          <w:highlight w:val="none"/>
          <w:shd w:val="clear" w:color="auto" w:fill="FFFFFF"/>
        </w:rPr>
        <w:t>污水处理站运维项目</w:t>
      </w:r>
      <w:r>
        <w:rPr>
          <w:rFonts w:hint="eastAsia" w:ascii="宋体" w:hAnsi="宋体" w:eastAsia="宋体" w:cs="宋体"/>
          <w:color w:val="auto"/>
          <w:spacing w:val="10"/>
          <w:sz w:val="24"/>
          <w:szCs w:val="24"/>
          <w:highlight w:val="none"/>
        </w:rPr>
        <w:t>达成一致，签订本合同，以便共同遵守。</w:t>
      </w:r>
    </w:p>
    <w:p w14:paraId="6D562D56">
      <w:pPr>
        <w:keepNext w:val="0"/>
        <w:keepLines w:val="0"/>
        <w:pageBreakBefore w:val="0"/>
        <w:kinsoku/>
        <w:wordWrap/>
        <w:overflowPunct/>
        <w:topLinePunct w:val="0"/>
        <w:autoSpaceDE/>
        <w:autoSpaceDN/>
        <w:bidi w:val="0"/>
        <w:spacing w:line="5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一、委托内容</w:t>
      </w:r>
    </w:p>
    <w:p w14:paraId="39F648EE">
      <w:pPr>
        <w:keepNext w:val="0"/>
        <w:keepLines w:val="0"/>
        <w:pageBreakBefore w:val="0"/>
        <w:kinsoku/>
        <w:wordWrap/>
        <w:overflowPunct/>
        <w:topLinePunct w:val="0"/>
        <w:autoSpaceDE/>
        <w:autoSpaceDN/>
        <w:bidi w:val="0"/>
        <w:spacing w:line="500" w:lineRule="exact"/>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1、日处理量及工艺</w:t>
      </w:r>
    </w:p>
    <w:p w14:paraId="2EA81249">
      <w:pPr>
        <w:keepNext w:val="0"/>
        <w:keepLines w:val="0"/>
        <w:pageBreakBefore w:val="0"/>
        <w:kinsoku/>
        <w:wordWrap/>
        <w:overflowPunct/>
        <w:topLinePunct w:val="0"/>
        <w:autoSpaceDE/>
        <w:autoSpaceDN/>
        <w:bidi w:val="0"/>
        <w:spacing w:line="50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医院污水站</w:t>
      </w:r>
      <w:r>
        <w:rPr>
          <w:rFonts w:hint="eastAsia" w:ascii="宋体" w:hAnsi="宋体" w:cs="宋体"/>
          <w:color w:val="auto"/>
          <w:sz w:val="24"/>
          <w:szCs w:val="24"/>
          <w:highlight w:val="none"/>
          <w:lang w:val="en-US" w:eastAsia="zh-CN"/>
        </w:rPr>
        <w:t>设计</w:t>
      </w:r>
      <w:r>
        <w:rPr>
          <w:rFonts w:hint="eastAsia" w:ascii="宋体" w:hAnsi="宋体" w:eastAsia="宋体" w:cs="宋体"/>
          <w:color w:val="auto"/>
          <w:sz w:val="24"/>
          <w:szCs w:val="24"/>
          <w:highlight w:val="none"/>
        </w:rPr>
        <w:t>日处理量</w:t>
      </w:r>
      <w:r>
        <w:rPr>
          <w:rFonts w:hint="eastAsia" w:ascii="宋体" w:hAnsi="宋体" w:cs="宋体"/>
          <w:color w:val="auto"/>
          <w:sz w:val="24"/>
          <w:szCs w:val="24"/>
          <w:highlight w:val="none"/>
          <w:lang w:eastAsia="zh-CN"/>
        </w:rPr>
        <w:t>400吨/天</w:t>
      </w:r>
      <w:r>
        <w:rPr>
          <w:rFonts w:hint="eastAsia" w:ascii="宋体" w:hAnsi="宋体" w:eastAsia="宋体" w:cs="宋体"/>
          <w:color w:val="auto"/>
          <w:sz w:val="24"/>
          <w:szCs w:val="24"/>
          <w:highlight w:val="none"/>
        </w:rPr>
        <w:t>。主体工艺流程：格栅-</w:t>
      </w:r>
      <w:r>
        <w:rPr>
          <w:rFonts w:hint="eastAsia" w:ascii="宋体" w:hAnsi="宋体" w:eastAsia="宋体" w:cs="宋体"/>
          <w:color w:val="auto"/>
          <w:sz w:val="24"/>
          <w:szCs w:val="24"/>
          <w:highlight w:val="none"/>
          <w:lang w:val="en-US" w:eastAsia="zh-CN"/>
        </w:rPr>
        <w:t>化粪池-</w:t>
      </w:r>
      <w:r>
        <w:rPr>
          <w:rFonts w:hint="eastAsia" w:ascii="宋体" w:hAnsi="宋体" w:eastAsia="宋体" w:cs="宋体"/>
          <w:color w:val="auto"/>
          <w:sz w:val="24"/>
          <w:szCs w:val="24"/>
          <w:highlight w:val="none"/>
        </w:rPr>
        <w:t>调节池-A2/O多级生化处理+竖流沉淀-消毒-达标排放。现实际日处理量约为</w:t>
      </w:r>
      <w:r>
        <w:rPr>
          <w:rFonts w:hint="eastAsia" w:ascii="宋体" w:hAnsi="宋体" w:cs="宋体"/>
          <w:color w:val="auto"/>
          <w:sz w:val="24"/>
          <w:szCs w:val="24"/>
          <w:highlight w:val="none"/>
          <w:lang w:eastAsia="zh-CN"/>
        </w:rPr>
        <w:t>120吨/天</w:t>
      </w:r>
      <w:r>
        <w:rPr>
          <w:rFonts w:hint="eastAsia" w:ascii="宋体" w:hAnsi="宋体" w:eastAsia="宋体" w:cs="宋体"/>
          <w:color w:val="auto"/>
          <w:sz w:val="24"/>
          <w:szCs w:val="24"/>
          <w:highlight w:val="none"/>
          <w:lang w:eastAsia="zh-CN"/>
        </w:rPr>
        <w:t>，除臭工艺和设备设施，除臭工艺流程：喷淋塔（加生物除臭剂每周2公斤）+风机+排气筒（15米）</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本项目所需耗材均有乙方承担。</w:t>
      </w:r>
    </w:p>
    <w:p w14:paraId="30426783">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2、运维范围</w:t>
      </w:r>
    </w:p>
    <w:p w14:paraId="2F9A6AF9">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污水处理站运维项目相关的人员配置、水质检测、设备巡检、设备保养（含易损件及消耗品，如润滑油、润滑脂……）设备检修，在线设备校准并在运维期内协助院方办理及变更排污许可证等内容。</w:t>
      </w:r>
    </w:p>
    <w:p w14:paraId="4761FC22">
      <w:pPr>
        <w:keepNext w:val="0"/>
        <w:keepLines w:val="0"/>
        <w:pageBreakBefore w:val="0"/>
        <w:kinsoku/>
        <w:wordWrap/>
        <w:overflowPunct/>
        <w:topLinePunct w:val="0"/>
        <w:autoSpaceDE/>
        <w:autoSpaceDN/>
        <w:bidi w:val="0"/>
        <w:spacing w:line="5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二、服务周期</w:t>
      </w:r>
    </w:p>
    <w:p w14:paraId="2C77D8A4">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合同期为1年，</w:t>
      </w:r>
      <w:r>
        <w:rPr>
          <w:rFonts w:hint="eastAsia" w:ascii="宋体" w:hAnsi="宋体" w:cs="宋体"/>
          <w:color w:val="auto"/>
          <w:sz w:val="24"/>
          <w:szCs w:val="24"/>
          <w:highlight w:val="none"/>
          <w:lang w:val="en-US" w:eastAsia="zh-CN"/>
        </w:rPr>
        <w:t>自合同签字生效之日算起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合同到期前30日</w:t>
      </w:r>
      <w:r>
        <w:rPr>
          <w:rFonts w:hint="eastAsia" w:ascii="宋体" w:hAnsi="宋体" w:cs="宋体"/>
          <w:color w:val="auto"/>
          <w:sz w:val="24"/>
          <w:szCs w:val="24"/>
          <w:highlight w:val="none"/>
          <w:lang w:val="en-US" w:eastAsia="zh-CN"/>
        </w:rPr>
        <w:t>内</w:t>
      </w:r>
      <w:r>
        <w:rPr>
          <w:rFonts w:hint="eastAsia" w:ascii="宋体" w:hAnsi="宋体" w:eastAsia="宋体" w:cs="宋体"/>
          <w:color w:val="auto"/>
          <w:sz w:val="24"/>
          <w:szCs w:val="24"/>
          <w:highlight w:val="none"/>
        </w:rPr>
        <w:t>，甲方</w:t>
      </w:r>
      <w:r>
        <w:rPr>
          <w:rFonts w:hint="eastAsia" w:ascii="宋体" w:hAnsi="宋体" w:cs="宋体"/>
          <w:color w:val="auto"/>
          <w:sz w:val="24"/>
          <w:szCs w:val="24"/>
          <w:highlight w:val="none"/>
          <w:lang w:val="en-US" w:eastAsia="zh-CN"/>
        </w:rPr>
        <w:t>对乙方</w:t>
      </w:r>
      <w:r>
        <w:rPr>
          <w:rFonts w:hint="eastAsia" w:ascii="宋体" w:hAnsi="宋体" w:eastAsia="宋体" w:cs="宋体"/>
          <w:color w:val="auto"/>
          <w:sz w:val="24"/>
          <w:szCs w:val="24"/>
          <w:highlight w:val="none"/>
        </w:rPr>
        <w:t>全年</w:t>
      </w:r>
      <w:r>
        <w:rPr>
          <w:rFonts w:hint="eastAsia" w:ascii="宋体" w:hAnsi="宋体" w:cs="宋体"/>
          <w:color w:val="auto"/>
          <w:sz w:val="24"/>
          <w:szCs w:val="24"/>
          <w:highlight w:val="none"/>
          <w:lang w:val="en-US" w:eastAsia="zh-CN"/>
        </w:rPr>
        <w:t>服务工作进行</w:t>
      </w:r>
      <w:r>
        <w:rPr>
          <w:rFonts w:hint="eastAsia" w:ascii="宋体" w:hAnsi="宋体" w:eastAsia="宋体" w:cs="宋体"/>
          <w:color w:val="auto"/>
          <w:sz w:val="24"/>
          <w:szCs w:val="24"/>
          <w:highlight w:val="none"/>
        </w:rPr>
        <w:t>考核</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并出具书面考核意见书，考核</w:t>
      </w:r>
      <w:r>
        <w:rPr>
          <w:rFonts w:hint="eastAsia" w:ascii="宋体" w:hAnsi="宋体" w:eastAsia="宋体" w:cs="宋体"/>
          <w:color w:val="auto"/>
          <w:sz w:val="24"/>
          <w:szCs w:val="24"/>
          <w:highlight w:val="none"/>
        </w:rPr>
        <w:t>结果</w:t>
      </w:r>
      <w:r>
        <w:rPr>
          <w:rFonts w:hint="eastAsia" w:ascii="宋体" w:hAnsi="宋体" w:cs="宋体"/>
          <w:color w:val="auto"/>
          <w:sz w:val="24"/>
          <w:szCs w:val="24"/>
          <w:highlight w:val="none"/>
          <w:lang w:val="en-US" w:eastAsia="zh-CN"/>
        </w:rPr>
        <w:t>合格后可</w:t>
      </w:r>
      <w:r>
        <w:rPr>
          <w:rFonts w:hint="eastAsia" w:ascii="宋体" w:hAnsi="宋体" w:eastAsia="宋体" w:cs="宋体"/>
          <w:color w:val="auto"/>
          <w:sz w:val="24"/>
          <w:szCs w:val="24"/>
          <w:highlight w:val="none"/>
        </w:rPr>
        <w:t>续签</w:t>
      </w:r>
      <w:r>
        <w:rPr>
          <w:rFonts w:hint="eastAsia" w:ascii="宋体" w:hAnsi="宋体" w:cs="宋体"/>
          <w:color w:val="auto"/>
          <w:sz w:val="24"/>
          <w:szCs w:val="24"/>
          <w:highlight w:val="none"/>
          <w:lang w:val="en-US" w:eastAsia="zh-CN"/>
        </w:rPr>
        <w:t>下一年度服务合同</w:t>
      </w:r>
      <w:r>
        <w:rPr>
          <w:rFonts w:hint="eastAsia" w:ascii="宋体" w:hAnsi="宋体" w:eastAsia="宋体" w:cs="宋体"/>
          <w:color w:val="auto"/>
          <w:sz w:val="24"/>
          <w:szCs w:val="24"/>
          <w:highlight w:val="none"/>
        </w:rPr>
        <w:t>。</w:t>
      </w:r>
    </w:p>
    <w:p w14:paraId="69E8FE71">
      <w:pPr>
        <w:keepNext w:val="0"/>
        <w:keepLines w:val="0"/>
        <w:pageBreakBefore w:val="0"/>
        <w:kinsoku/>
        <w:wordWrap/>
        <w:overflowPunct/>
        <w:topLinePunct w:val="0"/>
        <w:autoSpaceDE/>
        <w:autoSpaceDN/>
        <w:bidi w:val="0"/>
        <w:spacing w:line="500" w:lineRule="exact"/>
        <w:jc w:val="left"/>
        <w:textAlignment w:val="baseline"/>
        <w:rPr>
          <w:rFonts w:hint="eastAsia" w:ascii="宋体" w:hAnsi="宋体" w:eastAsia="宋体" w:cs="宋体"/>
          <w:b/>
          <w:color w:val="auto"/>
          <w:spacing w:val="10"/>
          <w:sz w:val="24"/>
          <w:szCs w:val="24"/>
          <w:highlight w:val="none"/>
        </w:rPr>
      </w:pPr>
      <w:r>
        <w:rPr>
          <w:rFonts w:hint="eastAsia" w:ascii="宋体" w:hAnsi="宋体" w:eastAsia="宋体" w:cs="宋体"/>
          <w:b/>
          <w:color w:val="auto"/>
          <w:spacing w:val="10"/>
          <w:sz w:val="24"/>
          <w:szCs w:val="24"/>
          <w:highlight w:val="none"/>
        </w:rPr>
        <w:t>三、技术要求</w:t>
      </w:r>
    </w:p>
    <w:p w14:paraId="02A3C43B">
      <w:pPr>
        <w:keepNext w:val="0"/>
        <w:keepLines w:val="0"/>
        <w:pageBreakBefore w:val="0"/>
        <w:kinsoku/>
        <w:wordWrap/>
        <w:overflowPunct/>
        <w:topLinePunct w:val="0"/>
        <w:autoSpaceDE/>
        <w:autoSpaceDN/>
        <w:bidi w:val="0"/>
        <w:spacing w:line="500" w:lineRule="exact"/>
        <w:ind w:firstLine="520" w:firstLineChars="200"/>
        <w:jc w:val="left"/>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1、服从医院的组织和管理，保障污水处理站的正常运行，出水水质符合环保及有关部门的要求。</w:t>
      </w:r>
    </w:p>
    <w:p w14:paraId="2FE9BD8B">
      <w:pPr>
        <w:keepNext w:val="0"/>
        <w:keepLines w:val="0"/>
        <w:pageBreakBefore w:val="0"/>
        <w:kinsoku/>
        <w:wordWrap/>
        <w:overflowPunct/>
        <w:topLinePunct w:val="0"/>
        <w:autoSpaceDE/>
        <w:autoSpaceDN/>
        <w:bidi w:val="0"/>
        <w:spacing w:line="500" w:lineRule="exact"/>
        <w:ind w:firstLine="520" w:firstLineChars="200"/>
        <w:jc w:val="left"/>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2、要求对污水处理站定期巡检、设备维护和检修、构筑物内漂浮物及沉淀物的清理、水质检测以及院方交办的临时性任务。</w:t>
      </w:r>
    </w:p>
    <w:p w14:paraId="0F61C95C">
      <w:pPr>
        <w:keepNext w:val="0"/>
        <w:keepLines w:val="0"/>
        <w:pageBreakBefore w:val="0"/>
        <w:widowControl w:val="0"/>
        <w:kinsoku/>
        <w:wordWrap/>
        <w:overflowPunct/>
        <w:topLinePunct w:val="0"/>
        <w:autoSpaceDE/>
        <w:autoSpaceDN/>
        <w:bidi w:val="0"/>
        <w:adjustRightInd w:val="0"/>
        <w:snapToGrid w:val="0"/>
        <w:spacing w:before="0" w:line="500" w:lineRule="exact"/>
        <w:ind w:firstLine="52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10"/>
          <w:kern w:val="2"/>
          <w:sz w:val="24"/>
          <w:szCs w:val="24"/>
          <w:highlight w:val="none"/>
          <w:lang w:val="en-US" w:eastAsia="zh-CN" w:bidi="ar-SA"/>
        </w:rPr>
        <w:t>3、执行标准：</w:t>
      </w:r>
      <w:r>
        <w:rPr>
          <w:rFonts w:hint="eastAsia" w:ascii="宋体" w:hAnsi="宋体" w:eastAsia="宋体" w:cs="宋体"/>
          <w:color w:val="auto"/>
          <w:kern w:val="2"/>
          <w:sz w:val="24"/>
          <w:szCs w:val="24"/>
          <w:highlight w:val="none"/>
          <w:lang w:val="en-US" w:eastAsia="zh-CN" w:bidi="ar-SA"/>
        </w:rPr>
        <w:t>出水水质执行《医疗机构水污染物排放标准》（GB18466-2005）中表1传染病、结核病医疗水污染物排放限值。</w:t>
      </w:r>
    </w:p>
    <w:p w14:paraId="365417A5">
      <w:pPr>
        <w:keepNext w:val="0"/>
        <w:keepLines w:val="0"/>
        <w:pageBreakBefore w:val="0"/>
        <w:widowControl w:val="0"/>
        <w:kinsoku/>
        <w:wordWrap/>
        <w:overflowPunct/>
        <w:topLinePunct w:val="0"/>
        <w:autoSpaceDE/>
        <w:autoSpaceDN/>
        <w:bidi w:val="0"/>
        <w:adjustRightInd w:val="0"/>
        <w:snapToGrid w:val="0"/>
        <w:spacing w:before="0" w:line="500" w:lineRule="exact"/>
        <w:ind w:firstLine="48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主要指标如下表：</w:t>
      </w:r>
    </w:p>
    <w:tbl>
      <w:tblPr>
        <w:tblStyle w:val="6"/>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22"/>
        <w:gridCol w:w="1035"/>
        <w:gridCol w:w="1279"/>
        <w:gridCol w:w="1396"/>
        <w:gridCol w:w="868"/>
        <w:gridCol w:w="1007"/>
        <w:gridCol w:w="2003"/>
      </w:tblGrid>
      <w:tr w14:paraId="7288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322" w:type="dxa"/>
            <w:shd w:val="clear" w:color="auto" w:fill="auto"/>
            <w:tcMar>
              <w:top w:w="0" w:type="dxa"/>
              <w:left w:w="0" w:type="dxa"/>
              <w:bottom w:w="0" w:type="dxa"/>
              <w:right w:w="0" w:type="dxa"/>
            </w:tcMar>
            <w:vAlign w:val="top"/>
          </w:tcPr>
          <w:p w14:paraId="3FC210A1">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指标</w:t>
            </w:r>
          </w:p>
        </w:tc>
        <w:tc>
          <w:tcPr>
            <w:tcW w:w="1035" w:type="dxa"/>
            <w:shd w:val="clear" w:color="auto" w:fill="auto"/>
            <w:tcMar>
              <w:top w:w="0" w:type="dxa"/>
              <w:left w:w="0" w:type="dxa"/>
              <w:bottom w:w="0" w:type="dxa"/>
              <w:right w:w="0" w:type="dxa"/>
            </w:tcMar>
            <w:vAlign w:val="top"/>
          </w:tcPr>
          <w:p w14:paraId="47FDFF88">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PH</w:t>
            </w:r>
          </w:p>
        </w:tc>
        <w:tc>
          <w:tcPr>
            <w:tcW w:w="1279" w:type="dxa"/>
            <w:shd w:val="clear" w:color="auto" w:fill="auto"/>
            <w:tcMar>
              <w:top w:w="0" w:type="dxa"/>
              <w:left w:w="0" w:type="dxa"/>
              <w:bottom w:w="0" w:type="dxa"/>
              <w:right w:w="0" w:type="dxa"/>
            </w:tcMar>
            <w:vAlign w:val="top"/>
          </w:tcPr>
          <w:p w14:paraId="4913A957">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CODcr</w:t>
            </w:r>
          </w:p>
        </w:tc>
        <w:tc>
          <w:tcPr>
            <w:tcW w:w="1396" w:type="dxa"/>
            <w:shd w:val="clear" w:color="auto" w:fill="auto"/>
            <w:tcMar>
              <w:top w:w="0" w:type="dxa"/>
              <w:left w:w="0" w:type="dxa"/>
              <w:bottom w:w="0" w:type="dxa"/>
              <w:right w:w="0" w:type="dxa"/>
            </w:tcMar>
            <w:vAlign w:val="top"/>
          </w:tcPr>
          <w:p w14:paraId="6605B280">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BOD5</w:t>
            </w:r>
          </w:p>
        </w:tc>
        <w:tc>
          <w:tcPr>
            <w:tcW w:w="868" w:type="dxa"/>
            <w:shd w:val="clear" w:color="auto" w:fill="auto"/>
            <w:tcMar>
              <w:top w:w="0" w:type="dxa"/>
              <w:left w:w="0" w:type="dxa"/>
              <w:bottom w:w="0" w:type="dxa"/>
              <w:right w:w="0" w:type="dxa"/>
            </w:tcMar>
            <w:vAlign w:val="top"/>
          </w:tcPr>
          <w:p w14:paraId="68F5265A">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SS</w:t>
            </w:r>
          </w:p>
        </w:tc>
        <w:tc>
          <w:tcPr>
            <w:tcW w:w="1007" w:type="dxa"/>
            <w:shd w:val="clear" w:color="auto" w:fill="auto"/>
            <w:tcMar>
              <w:top w:w="0" w:type="dxa"/>
              <w:left w:w="0" w:type="dxa"/>
              <w:bottom w:w="0" w:type="dxa"/>
              <w:right w:w="0" w:type="dxa"/>
            </w:tcMar>
            <w:vAlign w:val="top"/>
          </w:tcPr>
          <w:p w14:paraId="7EF77A16">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NH3-N</w:t>
            </w:r>
          </w:p>
        </w:tc>
        <w:tc>
          <w:tcPr>
            <w:tcW w:w="2003" w:type="dxa"/>
            <w:shd w:val="clear" w:color="auto" w:fill="auto"/>
            <w:tcMar>
              <w:top w:w="0" w:type="dxa"/>
              <w:left w:w="0" w:type="dxa"/>
              <w:bottom w:w="0" w:type="dxa"/>
              <w:right w:w="0" w:type="dxa"/>
            </w:tcMar>
            <w:vAlign w:val="top"/>
          </w:tcPr>
          <w:p w14:paraId="498AC108">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粪大肠菌群(个/L)</w:t>
            </w:r>
          </w:p>
        </w:tc>
      </w:tr>
      <w:tr w14:paraId="484B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322" w:type="dxa"/>
            <w:shd w:val="clear" w:color="auto" w:fill="auto"/>
            <w:tcMar>
              <w:top w:w="0" w:type="dxa"/>
              <w:left w:w="0" w:type="dxa"/>
              <w:bottom w:w="0" w:type="dxa"/>
              <w:right w:w="0" w:type="dxa"/>
            </w:tcMar>
            <w:vAlign w:val="top"/>
          </w:tcPr>
          <w:p w14:paraId="7EFDE2BD">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排放标准</w:t>
            </w:r>
          </w:p>
        </w:tc>
        <w:tc>
          <w:tcPr>
            <w:tcW w:w="1035" w:type="dxa"/>
            <w:shd w:val="clear" w:color="auto" w:fill="auto"/>
            <w:tcMar>
              <w:top w:w="0" w:type="dxa"/>
              <w:left w:w="0" w:type="dxa"/>
              <w:bottom w:w="0" w:type="dxa"/>
              <w:right w:w="0" w:type="dxa"/>
            </w:tcMar>
            <w:vAlign w:val="top"/>
          </w:tcPr>
          <w:p w14:paraId="44FC963A">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6~9</w:t>
            </w:r>
          </w:p>
        </w:tc>
        <w:tc>
          <w:tcPr>
            <w:tcW w:w="1279" w:type="dxa"/>
            <w:shd w:val="clear" w:color="auto" w:fill="auto"/>
            <w:tcMar>
              <w:top w:w="0" w:type="dxa"/>
              <w:left w:w="0" w:type="dxa"/>
              <w:bottom w:w="0" w:type="dxa"/>
              <w:right w:w="0" w:type="dxa"/>
            </w:tcMar>
            <w:vAlign w:val="top"/>
          </w:tcPr>
          <w:p w14:paraId="66A715A8">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60</w:t>
            </w:r>
          </w:p>
        </w:tc>
        <w:tc>
          <w:tcPr>
            <w:tcW w:w="1396" w:type="dxa"/>
            <w:shd w:val="clear" w:color="auto" w:fill="auto"/>
            <w:tcMar>
              <w:top w:w="0" w:type="dxa"/>
              <w:left w:w="0" w:type="dxa"/>
              <w:bottom w:w="0" w:type="dxa"/>
              <w:right w:w="0" w:type="dxa"/>
            </w:tcMar>
            <w:vAlign w:val="top"/>
          </w:tcPr>
          <w:p w14:paraId="59FF3987">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w:t>
            </w:r>
          </w:p>
        </w:tc>
        <w:tc>
          <w:tcPr>
            <w:tcW w:w="868" w:type="dxa"/>
            <w:shd w:val="clear" w:color="auto" w:fill="auto"/>
            <w:tcMar>
              <w:top w:w="0" w:type="dxa"/>
              <w:left w:w="0" w:type="dxa"/>
              <w:bottom w:w="0" w:type="dxa"/>
              <w:right w:w="0" w:type="dxa"/>
            </w:tcMar>
            <w:vAlign w:val="top"/>
          </w:tcPr>
          <w:p w14:paraId="5356915A">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w:t>
            </w:r>
          </w:p>
        </w:tc>
        <w:tc>
          <w:tcPr>
            <w:tcW w:w="1007" w:type="dxa"/>
            <w:shd w:val="clear" w:color="auto" w:fill="auto"/>
            <w:tcMar>
              <w:top w:w="0" w:type="dxa"/>
              <w:left w:w="0" w:type="dxa"/>
              <w:bottom w:w="0" w:type="dxa"/>
              <w:right w:w="0" w:type="dxa"/>
            </w:tcMar>
            <w:vAlign w:val="top"/>
          </w:tcPr>
          <w:p w14:paraId="4DC54141">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15</w:t>
            </w:r>
          </w:p>
        </w:tc>
        <w:tc>
          <w:tcPr>
            <w:tcW w:w="2003" w:type="dxa"/>
            <w:shd w:val="clear" w:color="auto" w:fill="auto"/>
            <w:tcMar>
              <w:top w:w="0" w:type="dxa"/>
              <w:left w:w="0" w:type="dxa"/>
              <w:bottom w:w="0" w:type="dxa"/>
              <w:right w:w="0" w:type="dxa"/>
            </w:tcMar>
            <w:vAlign w:val="top"/>
          </w:tcPr>
          <w:p w14:paraId="56CA26A3">
            <w:pPr>
              <w:keepNext w:val="0"/>
              <w:keepLines w:val="0"/>
              <w:pageBreakBefore w:val="0"/>
              <w:kinsoku/>
              <w:wordWrap/>
              <w:overflowPunct/>
              <w:topLinePunct w:val="0"/>
              <w:autoSpaceDE/>
              <w:autoSpaceDN/>
              <w:bidi w:val="0"/>
              <w:spacing w:before="0" w:line="5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100</w:t>
            </w:r>
          </w:p>
        </w:tc>
      </w:tr>
    </w:tbl>
    <w:p w14:paraId="3D6EBEB2">
      <w:pPr>
        <w:keepNext w:val="0"/>
        <w:keepLines w:val="0"/>
        <w:pageBreakBefore w:val="0"/>
        <w:widowControl w:val="0"/>
        <w:kinsoku/>
        <w:wordWrap/>
        <w:overflowPunct/>
        <w:topLinePunct w:val="0"/>
        <w:autoSpaceDE/>
        <w:autoSpaceDN/>
        <w:bidi w:val="0"/>
        <w:adjustRightInd w:val="0"/>
        <w:snapToGrid w:val="0"/>
        <w:spacing w:before="0" w:line="50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污水处理站恶臭排放标准执行《医疗机构水污染排放标准》（GB18466-2005）中关于废气排放要求的规定。</w:t>
      </w:r>
    </w:p>
    <w:p w14:paraId="02ED7838">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噪声排放执行《工业企业厂界环境噪声排放标准》（GB12348-2008）中2类标准。</w:t>
      </w:r>
    </w:p>
    <w:p w14:paraId="1033A6B1">
      <w:pPr>
        <w:keepNext w:val="0"/>
        <w:keepLines w:val="0"/>
        <w:pageBreakBefore w:val="0"/>
        <w:kinsoku/>
        <w:wordWrap/>
        <w:overflowPunct/>
        <w:topLinePunct w:val="0"/>
        <w:autoSpaceDE/>
        <w:autoSpaceDN/>
        <w:bidi w:val="0"/>
        <w:spacing w:line="500" w:lineRule="exact"/>
        <w:ind w:firstLine="520" w:firstLineChars="200"/>
        <w:jc w:val="left"/>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4、每月提供具有CMA认证的第三方检测机构出具的检测报告，同时对环保部门、市政水务以及卫生监督部门的检查应予以积极配合。</w:t>
      </w:r>
    </w:p>
    <w:p w14:paraId="7CAB8E58">
      <w:pPr>
        <w:keepNext w:val="0"/>
        <w:keepLines w:val="0"/>
        <w:pageBreakBefore w:val="0"/>
        <w:kinsoku/>
        <w:wordWrap/>
        <w:overflowPunct/>
        <w:topLinePunct w:val="0"/>
        <w:autoSpaceDE/>
        <w:autoSpaceDN/>
        <w:bidi w:val="0"/>
        <w:spacing w:line="500" w:lineRule="exact"/>
        <w:ind w:firstLine="520" w:firstLineChars="200"/>
        <w:jc w:val="left"/>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5、水质检测</w:t>
      </w:r>
    </w:p>
    <w:p w14:paraId="0322BCC8">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（1）乙方每日对出水进行pH，生化池沉降比，厌氧池、缺氧池、好氧池溶解氧进行监测并</w:t>
      </w:r>
      <w:r>
        <w:rPr>
          <w:rFonts w:hint="eastAsia" w:ascii="宋体" w:hAnsi="宋体" w:cs="宋体"/>
          <w:color w:val="auto"/>
          <w:sz w:val="24"/>
          <w:szCs w:val="24"/>
          <w:highlight w:val="none"/>
          <w:lang w:val="en-US" w:eastAsia="zh-CN"/>
        </w:rPr>
        <w:t>书面</w:t>
      </w:r>
      <w:r>
        <w:rPr>
          <w:rFonts w:hint="eastAsia" w:ascii="宋体" w:hAnsi="宋体" w:eastAsia="宋体" w:cs="宋体"/>
          <w:color w:val="auto"/>
          <w:sz w:val="24"/>
          <w:szCs w:val="24"/>
          <w:highlight w:val="none"/>
        </w:rPr>
        <w:t>记录，仪器设备</w:t>
      </w:r>
      <w:r>
        <w:rPr>
          <w:rFonts w:hint="default" w:ascii="宋体" w:hAnsi="宋体" w:eastAsia="宋体" w:cs="宋体"/>
          <w:color w:val="auto"/>
          <w:sz w:val="24"/>
          <w:szCs w:val="24"/>
          <w:highlight w:val="none"/>
          <w:lang w:val="en-US"/>
        </w:rPr>
        <w:t>需自行采购</w:t>
      </w:r>
      <w:r>
        <w:rPr>
          <w:rFonts w:hint="eastAsia" w:ascii="宋体" w:hAnsi="宋体" w:eastAsia="宋体" w:cs="宋体"/>
          <w:color w:val="auto"/>
          <w:sz w:val="24"/>
          <w:szCs w:val="24"/>
          <w:highlight w:val="none"/>
        </w:rPr>
        <w:t>。</w:t>
      </w:r>
    </w:p>
    <w:p w14:paraId="21DB1B9A">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（2）乙方每月对出水pH、SS、COD、BOD</w:t>
      </w:r>
      <w:r>
        <w:rPr>
          <w:rFonts w:hint="eastAsia" w:ascii="宋体" w:hAnsi="宋体" w:eastAsia="宋体" w:cs="宋体"/>
          <w:color w:val="auto"/>
          <w:sz w:val="24"/>
          <w:szCs w:val="24"/>
          <w:highlight w:val="none"/>
          <w:vertAlign w:val="subscript"/>
        </w:rPr>
        <w:t>5</w:t>
      </w:r>
      <w:r>
        <w:rPr>
          <w:rFonts w:hint="eastAsia" w:ascii="宋体" w:hAnsi="宋体" w:eastAsia="宋体" w:cs="宋体"/>
          <w:color w:val="auto"/>
          <w:sz w:val="24"/>
          <w:szCs w:val="24"/>
          <w:highlight w:val="none"/>
        </w:rPr>
        <w:t>、氨氮、粪大肠菌群进行第三方监测并提交具有CMA有资质的监测报告，同时每季度需提供污水进水口第三方监测报告（监测费供应商承担）。</w:t>
      </w:r>
    </w:p>
    <w:p w14:paraId="757AAF3D">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（3）甲方有权委托具有资质的水质检测机构对乙方提供的结果进行核实，甲方抽查采样时须有乙方工作人员在场，乙方工作人经通知拒不到现场的不影响结果的有效性。</w:t>
      </w:r>
    </w:p>
    <w:p w14:paraId="2F42F888">
      <w:pPr>
        <w:keepNext w:val="0"/>
        <w:keepLines w:val="0"/>
        <w:pageBreakBefore w:val="0"/>
        <w:kinsoku/>
        <w:wordWrap/>
        <w:overflowPunct/>
        <w:topLinePunct w:val="0"/>
        <w:autoSpaceDE/>
        <w:autoSpaceDN/>
        <w:bidi w:val="0"/>
        <w:spacing w:line="5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四、费用支付</w:t>
      </w:r>
    </w:p>
    <w:p w14:paraId="7636FC96">
      <w:pPr>
        <w:keepNext w:val="0"/>
        <w:keepLines w:val="0"/>
        <w:pageBreakBefore w:val="0"/>
        <w:tabs>
          <w:tab w:val="left" w:pos="434"/>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1、运维管理费每年￥：</w:t>
      </w:r>
      <w:r>
        <w:rPr>
          <w:rFonts w:hint="eastAsia" w:ascii="宋体" w:hAnsi="宋体" w:eastAsia="宋体" w:cs="宋体"/>
          <w:color w:val="auto"/>
          <w:sz w:val="24"/>
          <w:szCs w:val="24"/>
          <w:highlight w:val="none"/>
          <w:u w:val="single"/>
        </w:rPr>
        <w:t xml:space="preserve">       元，（人民币）大写：        </w:t>
      </w:r>
      <w:r>
        <w:rPr>
          <w:rFonts w:hint="eastAsia" w:ascii="宋体" w:hAnsi="宋体" w:eastAsia="宋体" w:cs="宋体"/>
          <w:color w:val="auto"/>
          <w:sz w:val="24"/>
          <w:szCs w:val="24"/>
          <w:highlight w:val="none"/>
        </w:rPr>
        <w:t>；包含人工工资成本、日常设备维修保养费、环保营运管理费、税金、劳保、办公、社保及与本项目相关的所有费用。</w:t>
      </w:r>
    </w:p>
    <w:p w14:paraId="6DF23F2B">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2、运维管理费支付方式：污水处理站运行稳定、设施维护到位、出水达标排放并经考核合格</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乙方开具等额合法有效符合甲方要求的增值税发票后，</w:t>
      </w:r>
      <w:r>
        <w:rPr>
          <w:rFonts w:hint="eastAsia" w:ascii="宋体" w:hAnsi="宋体" w:eastAsia="宋体" w:cs="宋体"/>
          <w:color w:val="auto"/>
          <w:sz w:val="24"/>
          <w:szCs w:val="24"/>
          <w:highlight w:val="none"/>
        </w:rPr>
        <w:t>按照季度支付运营维护费：</w:t>
      </w:r>
      <w:r>
        <w:rPr>
          <w:rFonts w:hint="eastAsia" w:ascii="宋体" w:hAnsi="宋体" w:eastAsia="宋体" w:cs="宋体"/>
          <w:color w:val="auto"/>
          <w:sz w:val="24"/>
          <w:szCs w:val="24"/>
          <w:highlight w:val="none"/>
          <w:u w:val="single"/>
        </w:rPr>
        <w:t>￥：         元，（人民币）大写：         。</w:t>
      </w:r>
    </w:p>
    <w:p w14:paraId="5F21855C">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若在运行中出现废水超标排放、设备维护不到位导致的设备损坏、人员不安全事故的发生等现象，待上述问题处理完成后支付运营维护费。</w:t>
      </w:r>
    </w:p>
    <w:p w14:paraId="0DD1F0E6">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3、支付账户及账号</w:t>
      </w:r>
    </w:p>
    <w:p w14:paraId="065A2BF0">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开户行：</w:t>
      </w:r>
      <w:r>
        <w:rPr>
          <w:rFonts w:hint="eastAsia" w:ascii="宋体" w:hAnsi="宋体" w:eastAsia="宋体" w:cs="宋体"/>
          <w:color w:val="auto"/>
          <w:sz w:val="24"/>
          <w:szCs w:val="24"/>
          <w:highlight w:val="none"/>
          <w:u w:val="single"/>
        </w:rPr>
        <w:t xml:space="preserve">                                </w:t>
      </w:r>
    </w:p>
    <w:p w14:paraId="2319B758">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w w:val="90"/>
          <w:sz w:val="24"/>
          <w:szCs w:val="24"/>
          <w:highlight w:val="none"/>
          <w:u w:val="single"/>
        </w:rPr>
        <w:t xml:space="preserve">   </w:t>
      </w:r>
    </w:p>
    <w:p w14:paraId="6D61E5B8">
      <w:pPr>
        <w:keepNext w:val="0"/>
        <w:keepLines w:val="0"/>
        <w:pageBreakBefore w:val="0"/>
        <w:kinsoku/>
        <w:wordWrap/>
        <w:overflowPunct/>
        <w:topLinePunct w:val="0"/>
        <w:autoSpaceDE/>
        <w:autoSpaceDN/>
        <w:bidi w:val="0"/>
        <w:spacing w:line="5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五、人员要求</w:t>
      </w:r>
    </w:p>
    <w:p w14:paraId="04859495">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污水处理站技术管理人员1名：全面负责污水处理站运维管理，按期向医院报告污水处理站运营、管理情况，办理有关环保工作的例行管理手续，向环保部门报送运行记录资料，接受环保管理部门、卫生部门和市政等部门的日常检查工作。负责污水处理站工艺系统参数调整、生化系统、工艺设备、构筑物管理与检修；电气主管主要负责远程控制、配电系统及电路线网的管理与检修。</w:t>
      </w:r>
    </w:p>
    <w:p w14:paraId="01763A27">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、污水处理站运维人员3名：主要负责运行、操作及设备的运行管理、维护等。</w:t>
      </w:r>
    </w:p>
    <w:p w14:paraId="45D195E2">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、乙方所有工作人员上岗资质证书原件需交医院进行管理备案，并在运维期结束后</w:t>
      </w:r>
      <w:r>
        <w:rPr>
          <w:rFonts w:hint="eastAsia" w:ascii="宋体" w:hAnsi="宋体" w:cs="宋体"/>
          <w:color w:val="auto"/>
          <w:sz w:val="24"/>
          <w:szCs w:val="24"/>
          <w:highlight w:val="none"/>
          <w:lang w:val="en-US" w:eastAsia="zh-CN"/>
        </w:rPr>
        <w:t>返</w:t>
      </w:r>
      <w:r>
        <w:rPr>
          <w:rFonts w:hint="eastAsia" w:ascii="宋体" w:hAnsi="宋体" w:eastAsia="宋体" w:cs="宋体"/>
          <w:color w:val="auto"/>
          <w:sz w:val="24"/>
          <w:szCs w:val="24"/>
          <w:highlight w:val="none"/>
        </w:rPr>
        <w:t>还乙方。</w:t>
      </w:r>
    </w:p>
    <w:p w14:paraId="324CE410">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、污水处理站实行全天候24小时值班制度，工作必须遵守医院相关管理制度；着装整齐、佩戴工牌、仪表做到干净整洁，按时到岗、不迟到早退、工作时间不得擅自离岗、串岗或做与工作无关的事情。</w:t>
      </w:r>
    </w:p>
    <w:p w14:paraId="3A52759B">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5、污水处理工作人员在日常作业中，必须穿着工作服、戴工牌、配置安全作业的工具、劳保用品、防护用品。为保障人员的人身安全及意外保险，乙方应负责员工的工资及劳动保障待遇。</w:t>
      </w:r>
    </w:p>
    <w:p w14:paraId="45008169">
      <w:pPr>
        <w:keepNext w:val="0"/>
        <w:keepLines w:val="0"/>
        <w:pageBreakBefore w:val="0"/>
        <w:kinsoku/>
        <w:wordWrap/>
        <w:overflowPunct/>
        <w:topLinePunct w:val="0"/>
        <w:autoSpaceDE/>
        <w:autoSpaceDN/>
        <w:bidi w:val="0"/>
        <w:spacing w:line="5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六、责任义务</w:t>
      </w:r>
    </w:p>
    <w:p w14:paraId="756BFF50">
      <w:pPr>
        <w:keepNext w:val="0"/>
        <w:keepLines w:val="0"/>
        <w:pageBreakBefore w:val="0"/>
        <w:kinsoku/>
        <w:wordWrap/>
        <w:overflowPunct/>
        <w:topLinePunct w:val="0"/>
        <w:autoSpaceDE/>
        <w:autoSpaceDN/>
        <w:bidi w:val="0"/>
        <w:spacing w:line="50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1、甲方责任义务</w:t>
      </w:r>
    </w:p>
    <w:p w14:paraId="6E87FBD9">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（1）甲方按照国家、省、市、行业有关法律、法规、标准、规范以及医院相关管理规章制度进行监督管理。</w:t>
      </w:r>
    </w:p>
    <w:p w14:paraId="69680190">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（2）甲方每月对乙方进行不定期不定时监督检查，并进行考核评定；若乙方不按照规范或合同执行要求执行责令限期整改，对于未整改或整改不到位者给予每季度运维费用的</w:t>
      </w:r>
      <w:r>
        <w:rPr>
          <w:rFonts w:hint="eastAsia" w:ascii="宋体" w:hAnsi="宋体" w:cs="宋体"/>
          <w:color w:val="auto"/>
          <w:sz w:val="24"/>
          <w:szCs w:val="24"/>
          <w:highlight w:val="none"/>
          <w:lang w:val="en-US" w:eastAsia="zh-CN"/>
        </w:rPr>
        <w:t>20</w:t>
      </w:r>
      <w:r>
        <w:rPr>
          <w:rFonts w:hint="eastAsia" w:ascii="宋体" w:hAnsi="宋体" w:eastAsia="宋体" w:cs="宋体"/>
          <w:color w:val="auto"/>
          <w:sz w:val="24"/>
          <w:szCs w:val="24"/>
          <w:highlight w:val="none"/>
        </w:rPr>
        <w:t>%作为</w:t>
      </w:r>
      <w:r>
        <w:rPr>
          <w:rFonts w:hint="eastAsia" w:ascii="宋体" w:hAnsi="宋体" w:eastAsia="宋体" w:cs="宋体"/>
          <w:color w:val="auto"/>
          <w:sz w:val="24"/>
          <w:szCs w:val="24"/>
          <w:highlight w:val="none"/>
        </w:rPr>
        <w:t>违约金并在合同款中扣除。</w:t>
      </w:r>
    </w:p>
    <w:p w14:paraId="34A44124">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（3）甲方有权更换乙方不服从甲方管理，未按照操作规范进行运行的工作人员，并由乙方承担相应责任。</w:t>
      </w:r>
    </w:p>
    <w:p w14:paraId="42895AAE">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（4）甲方保障污水处理站设施运维所要的水、电以及消毒药品，如遇突发停水、停电或药品供应短缺及时通知乙方并启动突发环境事件应急预案。</w:t>
      </w:r>
    </w:p>
    <w:p w14:paraId="42A591E6">
      <w:pPr>
        <w:keepNext w:val="0"/>
        <w:keepLines w:val="0"/>
        <w:pageBreakBefore w:val="0"/>
        <w:kinsoku/>
        <w:wordWrap/>
        <w:overflowPunct/>
        <w:topLinePunct w:val="0"/>
        <w:autoSpaceDE/>
        <w:autoSpaceDN/>
        <w:bidi w:val="0"/>
        <w:spacing w:line="50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（5）甲方为乙方在污水运行管理服务过程中提供必要的协调和协助支持，以便共同搞好污水处理设施运维管理。</w:t>
      </w:r>
    </w:p>
    <w:p w14:paraId="1631B8C9">
      <w:pPr>
        <w:keepNext w:val="0"/>
        <w:keepLines w:val="0"/>
        <w:pageBreakBefore w:val="0"/>
        <w:kinsoku/>
        <w:wordWrap/>
        <w:overflowPunct/>
        <w:topLinePunct w:val="0"/>
        <w:autoSpaceDE/>
        <w:autoSpaceDN/>
        <w:bidi w:val="0"/>
        <w:spacing w:line="50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2、乙方责任义务</w:t>
      </w:r>
    </w:p>
    <w:p w14:paraId="622574A3">
      <w:pPr>
        <w:keepNext w:val="0"/>
        <w:keepLines w:val="0"/>
        <w:pageBreakBefore w:val="0"/>
        <w:tabs>
          <w:tab w:val="left" w:pos="0"/>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（1）乙方运维期间，污水处理站处理之后废水应达到国家、省市以及行业有关标准规范；并协助甲方提出一切切实可行的技术措施，全方位为污水处理站高效、经济、环保运行提供技术服务。</w:t>
      </w:r>
    </w:p>
    <w:p w14:paraId="0FBCFF75">
      <w:pPr>
        <w:keepNext w:val="0"/>
        <w:keepLines w:val="0"/>
        <w:pageBreakBefore w:val="0"/>
        <w:tabs>
          <w:tab w:val="left" w:pos="0"/>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（2）乙方须按照甲方的规定配备技术经验丰富的管理及运行人员，定期开展安全、技术及应急培训并记录在案；每年开展突发环境事件应急预案演练，检验应急处置能力并查找短缺。</w:t>
      </w:r>
    </w:p>
    <w:p w14:paraId="60A4BC6C">
      <w:pPr>
        <w:keepNext w:val="0"/>
        <w:keepLines w:val="0"/>
        <w:pageBreakBefore w:val="0"/>
        <w:tabs>
          <w:tab w:val="left" w:pos="0"/>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在运维期间，必须严格按污水处理站设备操作规程、安全操作规程进行操作，确保污水处理达标排放，并保证人身安全。如果在合同期内发生重大过失造成安全责任事故、经济损失或人员伤亡及因污水处理不到位导致</w:t>
      </w:r>
      <w:r>
        <w:rPr>
          <w:rFonts w:hint="eastAsia" w:ascii="宋体" w:hAnsi="宋体" w:cs="宋体"/>
          <w:color w:val="auto"/>
          <w:sz w:val="24"/>
          <w:szCs w:val="24"/>
          <w:highlight w:val="none"/>
          <w:lang w:val="en-US" w:eastAsia="zh-CN"/>
        </w:rPr>
        <w:t>与第三方产生民事纠纷或</w:t>
      </w:r>
      <w:r>
        <w:rPr>
          <w:rFonts w:hint="eastAsia" w:ascii="宋体" w:hAnsi="宋体" w:eastAsia="宋体" w:cs="宋体"/>
          <w:color w:val="auto"/>
          <w:sz w:val="24"/>
          <w:szCs w:val="24"/>
          <w:highlight w:val="none"/>
        </w:rPr>
        <w:t>甲方被相关部门处罚，责任完全由乙方负责并承担甲方经济损失。</w:t>
      </w:r>
    </w:p>
    <w:p w14:paraId="3A2787ED">
      <w:pPr>
        <w:keepNext w:val="0"/>
        <w:keepLines w:val="0"/>
        <w:pageBreakBefore w:val="0"/>
        <w:tabs>
          <w:tab w:val="left" w:pos="448"/>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shd w:val="clear" w:color="auto" w:fill="FFFFFF"/>
        </w:rPr>
        <w:t>按照《医疗废物管理条例从事医疗废物转运</w:t>
      </w:r>
      <w:r>
        <w:rPr>
          <w:rFonts w:hint="eastAsia" w:ascii="宋体" w:hAnsi="宋体" w:eastAsia="宋体" w:cs="宋体"/>
          <w:color w:val="auto"/>
          <w:sz w:val="24"/>
          <w:szCs w:val="24"/>
          <w:highlight w:val="none"/>
        </w:rPr>
        <w:t>、污水处理站运行人员提供安全防护用品、安全作业工具并进行健康体检，以备卫生监督部门的检查和保障工作人员的身体健康。</w:t>
      </w:r>
    </w:p>
    <w:p w14:paraId="70A8EE33">
      <w:pPr>
        <w:keepNext w:val="0"/>
        <w:keepLines w:val="0"/>
        <w:pageBreakBefore w:val="0"/>
        <w:tabs>
          <w:tab w:val="left" w:pos="0"/>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（5）污水处理站的运行日志、监测记录、维修记录、固体废弃物处理台帐、污水排放记录表等必须由乙方详实纪录并妥善保存，当合同期满后，完整移交给甲方</w:t>
      </w:r>
      <w:r>
        <w:rPr>
          <w:rFonts w:hint="eastAsia" w:ascii="宋体" w:hAnsi="宋体" w:cs="宋体"/>
          <w:color w:val="auto"/>
          <w:sz w:val="24"/>
          <w:szCs w:val="24"/>
          <w:highlight w:val="none"/>
          <w:lang w:eastAsia="zh-CN"/>
        </w:rPr>
        <w:t>，缺失、漏报的视为违约，承担相应违约金</w:t>
      </w:r>
      <w:r>
        <w:rPr>
          <w:rFonts w:hint="eastAsia" w:ascii="宋体" w:hAnsi="宋体" w:eastAsia="宋体" w:cs="宋体"/>
          <w:color w:val="auto"/>
          <w:sz w:val="24"/>
          <w:szCs w:val="24"/>
          <w:highlight w:val="none"/>
        </w:rPr>
        <w:t>。</w:t>
      </w:r>
    </w:p>
    <w:p w14:paraId="2746B670">
      <w:pPr>
        <w:keepNext w:val="0"/>
        <w:keepLines w:val="0"/>
        <w:pageBreakBefore w:val="0"/>
        <w:tabs>
          <w:tab w:val="left" w:pos="0"/>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（6）乙方工作人员必须遵守医院的各项规章制度，服从甲方管理人员检查和监督。并且要保护好站内的一切公共设施、消防设施及保持周边环境卫生，违者按甲方规定处罚。</w:t>
      </w:r>
    </w:p>
    <w:p w14:paraId="657F00B6">
      <w:pPr>
        <w:keepNext w:val="0"/>
        <w:keepLines w:val="0"/>
        <w:pageBreakBefore w:val="0"/>
        <w:tabs>
          <w:tab w:val="left" w:pos="0"/>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（7）污水处理当中产生的固体废物，由乙方负责按生态环境部门的相关规定进行处理，处理费用由乙方运维费中承担。</w:t>
      </w:r>
    </w:p>
    <w:p w14:paraId="297D240A">
      <w:pPr>
        <w:keepNext w:val="0"/>
        <w:keepLines w:val="0"/>
        <w:pageBreakBefore w:val="0"/>
        <w:tabs>
          <w:tab w:val="left" w:pos="0"/>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（8）乙方应保证污水处理站设施每日正常运行，及时对系统设备、设施运行过程的故障进行及时维修维护，按照甲方规定进行系统定期维护保养、清淤清渣工作。</w:t>
      </w:r>
    </w:p>
    <w:p w14:paraId="30383513">
      <w:pPr>
        <w:keepNext w:val="0"/>
        <w:keepLines w:val="0"/>
        <w:pageBreakBefore w:val="0"/>
        <w:tabs>
          <w:tab w:val="left" w:pos="900"/>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（9）因设施设备检修需停机时或突发意外情况时乙方应及时向甲方书面汇报情况，并按照突发事件应急预案妥善处理。</w:t>
      </w:r>
    </w:p>
    <w:p w14:paraId="411D267C">
      <w:pPr>
        <w:keepNext w:val="0"/>
        <w:keepLines w:val="0"/>
        <w:pageBreakBefore w:val="0"/>
        <w:widowControl w:val="0"/>
        <w:kinsoku/>
        <w:wordWrap/>
        <w:overflowPunct/>
        <w:topLinePunct w:val="0"/>
        <w:autoSpaceDE/>
        <w:autoSpaceDN/>
        <w:bidi w:val="0"/>
        <w:spacing w:line="500" w:lineRule="exact"/>
        <w:ind w:firstLine="480" w:firstLineChars="200"/>
        <w:jc w:val="both"/>
        <w:rPr>
          <w:rFonts w:hint="eastAsia" w:ascii="Calibri" w:hAnsi="Calibri" w:eastAsia="宋体" w:cs="Times New Roman"/>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（10）乙方负责在线设备的校准、校验，并出具校准报告（每年一次）。</w:t>
      </w:r>
    </w:p>
    <w:p w14:paraId="721A1DB1">
      <w:pPr>
        <w:keepNext w:val="0"/>
        <w:keepLines w:val="0"/>
        <w:pageBreakBefore w:val="0"/>
        <w:tabs>
          <w:tab w:val="left" w:pos="0"/>
        </w:tabs>
        <w:kinsoku/>
        <w:wordWrap/>
        <w:overflowPunct/>
        <w:topLinePunct w:val="0"/>
        <w:autoSpaceDE/>
        <w:autoSpaceDN/>
        <w:bidi w:val="0"/>
        <w:spacing w:line="50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）如果乙方因故与甲方解除合同，必须提前两个月书面通知甲方，否则视为违约，乙方承担</w:t>
      </w:r>
      <w:r>
        <w:rPr>
          <w:rFonts w:hint="eastAsia" w:ascii="宋体" w:hAnsi="宋体" w:cs="宋体"/>
          <w:color w:val="auto"/>
          <w:sz w:val="24"/>
          <w:szCs w:val="24"/>
          <w:highlight w:val="none"/>
          <w:lang w:val="en-US" w:eastAsia="zh-CN"/>
        </w:rPr>
        <w:t>合同总金额20%的违约金，及</w:t>
      </w:r>
      <w:r>
        <w:rPr>
          <w:rFonts w:hint="eastAsia" w:ascii="宋体" w:hAnsi="宋体" w:eastAsia="宋体" w:cs="宋体"/>
          <w:color w:val="auto"/>
          <w:sz w:val="24"/>
          <w:szCs w:val="24"/>
          <w:highlight w:val="none"/>
        </w:rPr>
        <w:t>因乙方单方原因违约解除合同而给甲方造成的</w:t>
      </w:r>
      <w:r>
        <w:rPr>
          <w:rFonts w:hint="eastAsia" w:ascii="宋体" w:hAnsi="宋体" w:eastAsia="宋体" w:cs="宋体"/>
          <w:color w:val="auto"/>
          <w:sz w:val="24"/>
          <w:szCs w:val="24"/>
          <w:highlight w:val="none"/>
          <w:lang w:val="en-US" w:eastAsia="zh-CN"/>
        </w:rPr>
        <w:t>所有费用</w:t>
      </w:r>
      <w:r>
        <w:rPr>
          <w:rFonts w:hint="eastAsia" w:ascii="宋体" w:hAnsi="宋体" w:cs="宋体"/>
          <w:color w:val="auto"/>
          <w:sz w:val="24"/>
          <w:szCs w:val="24"/>
          <w:highlight w:val="none"/>
          <w:lang w:val="en-US" w:eastAsia="zh-CN"/>
        </w:rPr>
        <w:t>，范围包括给甲方造成的实际损失、可预期利益，以及甲方因维权所产生的诉讼费、律师费、公证费、保全费、差旅费等全部相关费用</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甲方因故与乙方解除合同，应提前一个月通知乙方，否则视为违约。</w:t>
      </w:r>
    </w:p>
    <w:p w14:paraId="5D0FFACF">
      <w:pPr>
        <w:keepNext w:val="0"/>
        <w:keepLines w:val="0"/>
        <w:pageBreakBefore w:val="0"/>
        <w:kinsoku/>
        <w:wordWrap/>
        <w:overflowPunct/>
        <w:topLinePunct w:val="0"/>
        <w:autoSpaceDE/>
        <w:autoSpaceDN/>
        <w:bidi w:val="0"/>
        <w:spacing w:line="5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七、违约责任</w:t>
      </w:r>
    </w:p>
    <w:p w14:paraId="3F2D7BF7">
      <w:pPr>
        <w:keepNext w:val="0"/>
        <w:keepLines w:val="0"/>
        <w:pageBreakBefore w:val="0"/>
        <w:tabs>
          <w:tab w:val="left" w:pos="0"/>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1、合同签订完后交</w:t>
      </w:r>
      <w:r>
        <w:rPr>
          <w:rFonts w:hint="eastAsia" w:ascii="宋体" w:hAnsi="宋体" w:cs="宋体"/>
          <w:color w:val="auto"/>
          <w:sz w:val="24"/>
          <w:szCs w:val="24"/>
          <w:highlight w:val="none"/>
          <w:lang w:val="en-US" w:eastAsia="zh-CN"/>
        </w:rPr>
        <w:t>甲方</w:t>
      </w:r>
      <w:r>
        <w:rPr>
          <w:rFonts w:hint="eastAsia" w:ascii="宋体" w:hAnsi="宋体" w:eastAsia="宋体" w:cs="宋体"/>
          <w:color w:val="auto"/>
          <w:sz w:val="24"/>
          <w:szCs w:val="24"/>
          <w:highlight w:val="none"/>
        </w:rPr>
        <w:t>所在地环保部门备案，如污水处理不达标排放，或造成重大污染事故，</w:t>
      </w:r>
      <w:r>
        <w:rPr>
          <w:rFonts w:hint="eastAsia" w:ascii="宋体" w:hAnsi="宋体" w:cs="宋体"/>
          <w:color w:val="auto"/>
          <w:sz w:val="24"/>
          <w:szCs w:val="24"/>
          <w:highlight w:val="none"/>
          <w:lang w:val="en-US" w:eastAsia="zh-CN"/>
        </w:rPr>
        <w:t>应承</w:t>
      </w:r>
      <w:r>
        <w:rPr>
          <w:rFonts w:hint="eastAsia" w:ascii="宋体" w:hAnsi="宋体" w:eastAsia="宋体" w:cs="宋体"/>
          <w:color w:val="auto"/>
          <w:sz w:val="24"/>
          <w:szCs w:val="24"/>
          <w:highlight w:val="none"/>
        </w:rPr>
        <w:t>担合同总金额20%的违约金，造成相关部门罚款应由供应商负全部责任并承担排污费及相关罚款。如给第三方造成损失应由</w:t>
      </w:r>
      <w:r>
        <w:rPr>
          <w:rFonts w:hint="eastAsia" w:ascii="宋体" w:hAnsi="宋体" w:cs="宋体"/>
          <w:color w:val="auto"/>
          <w:sz w:val="24"/>
          <w:szCs w:val="24"/>
          <w:highlight w:val="none"/>
          <w:lang w:val="en-US" w:eastAsia="zh-CN"/>
        </w:rPr>
        <w:t>乙方</w:t>
      </w:r>
      <w:r>
        <w:rPr>
          <w:rFonts w:hint="eastAsia" w:ascii="宋体" w:hAnsi="宋体" w:eastAsia="宋体" w:cs="宋体"/>
          <w:color w:val="auto"/>
          <w:sz w:val="24"/>
          <w:szCs w:val="24"/>
          <w:highlight w:val="none"/>
        </w:rPr>
        <w:t>全部承担相关责任。此外</w:t>
      </w:r>
      <w:r>
        <w:rPr>
          <w:rFonts w:hint="eastAsia" w:ascii="宋体" w:hAnsi="宋体" w:cs="宋体"/>
          <w:color w:val="auto"/>
          <w:sz w:val="24"/>
          <w:szCs w:val="24"/>
          <w:highlight w:val="none"/>
          <w:lang w:val="en-US" w:eastAsia="zh-CN"/>
        </w:rPr>
        <w:t>乙方</w:t>
      </w:r>
      <w:r>
        <w:rPr>
          <w:rFonts w:hint="eastAsia" w:ascii="宋体" w:hAnsi="宋体" w:eastAsia="宋体" w:cs="宋体"/>
          <w:color w:val="auto"/>
          <w:sz w:val="24"/>
          <w:szCs w:val="24"/>
          <w:highlight w:val="none"/>
        </w:rPr>
        <w:t>应承担由此给</w:t>
      </w:r>
      <w:r>
        <w:rPr>
          <w:rFonts w:hint="eastAsia" w:ascii="宋体" w:hAnsi="宋体" w:cs="宋体"/>
          <w:color w:val="auto"/>
          <w:sz w:val="24"/>
          <w:szCs w:val="24"/>
          <w:highlight w:val="none"/>
          <w:lang w:val="en-US" w:eastAsia="zh-CN"/>
        </w:rPr>
        <w:t>甲方</w:t>
      </w:r>
      <w:r>
        <w:rPr>
          <w:rFonts w:hint="eastAsia" w:ascii="宋体" w:hAnsi="宋体" w:eastAsia="宋体" w:cs="宋体"/>
          <w:color w:val="auto"/>
          <w:sz w:val="24"/>
          <w:szCs w:val="24"/>
          <w:highlight w:val="none"/>
        </w:rPr>
        <w:t>造成的一切损失，包括但不限于给</w:t>
      </w:r>
      <w:r>
        <w:rPr>
          <w:rFonts w:hint="eastAsia" w:ascii="宋体" w:hAnsi="宋体" w:cs="宋体"/>
          <w:color w:val="auto"/>
          <w:sz w:val="24"/>
          <w:szCs w:val="24"/>
          <w:highlight w:val="none"/>
          <w:lang w:val="en-US" w:eastAsia="zh-CN"/>
        </w:rPr>
        <w:t>甲方</w:t>
      </w:r>
      <w:r>
        <w:rPr>
          <w:rFonts w:hint="eastAsia" w:ascii="宋体" w:hAnsi="宋体" w:eastAsia="宋体" w:cs="宋体"/>
          <w:color w:val="auto"/>
          <w:sz w:val="24"/>
          <w:szCs w:val="24"/>
          <w:highlight w:val="none"/>
        </w:rPr>
        <w:t>造成的实际损失、可预期利益、委托第三方产生的费用，以及医院因维权所产生的诉讼费、律师费、公证费、保全费、差旅费等全部相关费用。</w:t>
      </w:r>
    </w:p>
    <w:p w14:paraId="001C7837">
      <w:pPr>
        <w:keepNext w:val="0"/>
        <w:keepLines w:val="0"/>
        <w:pageBreakBefore w:val="0"/>
        <w:tabs>
          <w:tab w:val="left" w:pos="0"/>
        </w:tabs>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2、乙方运营期间，保证甲方的设备设施完好无损，正常运行，严格按照处理工艺执行，保证污水处理达标。如造成</w:t>
      </w:r>
      <w:r>
        <w:rPr>
          <w:rFonts w:hint="eastAsia" w:ascii="宋体" w:hAnsi="宋体" w:cs="宋体"/>
          <w:color w:val="auto"/>
          <w:sz w:val="24"/>
          <w:szCs w:val="24"/>
          <w:highlight w:val="none"/>
          <w:lang w:val="en-US" w:eastAsia="zh-CN"/>
        </w:rPr>
        <w:t>设备设施</w:t>
      </w:r>
      <w:r>
        <w:rPr>
          <w:rFonts w:hint="eastAsia" w:ascii="宋体" w:hAnsi="宋体" w:eastAsia="宋体" w:cs="宋体"/>
          <w:color w:val="auto"/>
          <w:sz w:val="24"/>
          <w:szCs w:val="24"/>
          <w:highlight w:val="none"/>
        </w:rPr>
        <w:t>损坏必须在甲方规定的时间内彻底整改，费用由乙方承担。</w:t>
      </w:r>
    </w:p>
    <w:p w14:paraId="65910273">
      <w:pPr>
        <w:keepNext w:val="0"/>
        <w:keepLines w:val="0"/>
        <w:pageBreakBefore w:val="0"/>
        <w:kinsoku/>
        <w:wordWrap/>
        <w:overflowPunct/>
        <w:topLinePunct w:val="0"/>
        <w:autoSpaceDE/>
        <w:autoSpaceDN/>
        <w:bidi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不定时对乙方处理后的污水进行检测，如发现乙方处理污水不达标，每超标一次，甲方将在乙方当季的运营管理费用中扣除10%作为乙方违约金。如连续两次出现超标情况甲方扣除乙方当月的运维管理费用并可以解除合同。</w:t>
      </w:r>
    </w:p>
    <w:p w14:paraId="21FA6028">
      <w:pPr>
        <w:keepNext w:val="0"/>
        <w:keepLines w:val="0"/>
        <w:pageBreakBefore w:val="0"/>
        <w:kinsoku/>
        <w:wordWrap/>
        <w:overflowPunct/>
        <w:topLinePunct w:val="0"/>
        <w:autoSpaceDE/>
        <w:autoSpaceDN/>
        <w:bidi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4、乙方运维期间未按照甲方规定人数上岗工作，未上岗人员费用以违约金形式在每季度运维费中扣除。</w:t>
      </w:r>
    </w:p>
    <w:p w14:paraId="721370FE">
      <w:pPr>
        <w:keepNext w:val="0"/>
        <w:keepLines w:val="0"/>
        <w:pageBreakBefore w:val="0"/>
        <w:kinsoku/>
        <w:wordWrap/>
        <w:overflowPunct/>
        <w:topLinePunct w:val="0"/>
        <w:autoSpaceDE/>
        <w:autoSpaceDN/>
        <w:bidi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5、乙方在运维期间严格遵照危险品（消毒药剂 ）安全管理规定保管，如有丢失应协助公安机关进行调查，待调查结束扣除本季度运维管理费并立即解除合同关系。</w:t>
      </w:r>
    </w:p>
    <w:p w14:paraId="5881E71F">
      <w:pPr>
        <w:keepNext w:val="0"/>
        <w:keepLines w:val="0"/>
        <w:pageBreakBefore w:val="0"/>
        <w:kinsoku/>
        <w:wordWrap/>
        <w:overflowPunct/>
        <w:topLinePunct w:val="0"/>
        <w:autoSpaceDE/>
        <w:autoSpaceDN/>
        <w:bidi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6、甲方制定污水处理站考核办法并作为合同有效附件，甲方每季度付款以三个月考核评估平均分作为付款依据；平均分大于85分方可付款，小于85分每少一分以违约金1000元从季度运维费用中扣除。</w:t>
      </w:r>
    </w:p>
    <w:p w14:paraId="76F84F78">
      <w:pPr>
        <w:keepNext w:val="0"/>
        <w:keepLines w:val="0"/>
        <w:pageBreakBefore w:val="0"/>
        <w:kinsoku/>
        <w:wordWrap/>
        <w:overflowPunct/>
        <w:topLinePunct w:val="0"/>
        <w:autoSpaceDE/>
        <w:autoSpaceDN/>
        <w:bidi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7、乙方如在合同到期前不再续签，应提前三个月书面通知甲方，如未按时间节点通知甲方，在甲方确定下一年度的污水站服务商前，造成甲方因污水站处置后续事宜的一切费用由乙方承担。</w:t>
      </w:r>
    </w:p>
    <w:p w14:paraId="464D3B49">
      <w:pPr>
        <w:keepNext w:val="0"/>
        <w:keepLines w:val="0"/>
        <w:pageBreakBefore w:val="0"/>
        <w:kinsoku/>
        <w:wordWrap/>
        <w:overflowPunct/>
        <w:topLinePunct w:val="0"/>
        <w:autoSpaceDE/>
        <w:autoSpaceDN/>
        <w:bidi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8、如一方违反有关法律规定或违约，另一方有权解除合同，违约方应赔偿给另一方因违约造成的损失。</w:t>
      </w:r>
    </w:p>
    <w:p w14:paraId="5690D83F">
      <w:pPr>
        <w:keepNext w:val="0"/>
        <w:keepLines w:val="0"/>
        <w:pageBreakBefore w:val="0"/>
        <w:kinsoku/>
        <w:wordWrap/>
        <w:overflowPunct/>
        <w:topLinePunct w:val="0"/>
        <w:autoSpaceDE/>
        <w:autoSpaceDN/>
        <w:bidi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乙方在本合同项下违约的，除承担上述约定责任之外，还应承担本合同总金额20%的违约金，给甲方造成损失的，还应承担损失赔偿责任。范围包括给甲方造成的实际损失、可预期利益，以及甲方因维权所产生的诉讼费、律师费、公证费、保全费、差旅费等全部相关费用。</w:t>
      </w:r>
    </w:p>
    <w:p w14:paraId="15272163">
      <w:pPr>
        <w:keepNext w:val="0"/>
        <w:keepLines w:val="0"/>
        <w:pageBreakBefore w:val="0"/>
        <w:kinsoku/>
        <w:wordWrap/>
        <w:overflowPunct/>
        <w:topLinePunct w:val="0"/>
        <w:autoSpaceDE/>
        <w:autoSpaceDN/>
        <w:bidi w:val="0"/>
        <w:spacing w:line="5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八、其他事项</w:t>
      </w:r>
    </w:p>
    <w:p w14:paraId="1A97C5A4">
      <w:pPr>
        <w:keepNext w:val="0"/>
        <w:keepLines w:val="0"/>
        <w:pageBreakBefore w:val="0"/>
        <w:kinsoku/>
        <w:wordWrap/>
        <w:overflowPunct/>
        <w:topLinePunct w:val="0"/>
        <w:autoSpaceDE/>
        <w:autoSpaceDN/>
        <w:bidi w:val="0"/>
        <w:spacing w:line="500" w:lineRule="exact"/>
        <w:ind w:firstLine="520"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0"/>
          <w:sz w:val="24"/>
          <w:szCs w:val="24"/>
          <w:highlight w:val="none"/>
        </w:rPr>
        <w:t>1、本合同经甲、乙双方法定代表人或授权代表签字，加盖合同专用章后生效。合同一式捌份</w:t>
      </w:r>
      <w:r>
        <w:rPr>
          <w:rFonts w:hint="eastAsia" w:ascii="宋体" w:hAnsi="宋体" w:eastAsia="宋体" w:cs="宋体"/>
          <w:color w:val="auto"/>
          <w:sz w:val="24"/>
          <w:szCs w:val="24"/>
          <w:highlight w:val="none"/>
        </w:rPr>
        <w:t>，甲方陆份、乙方贰份。</w:t>
      </w:r>
    </w:p>
    <w:p w14:paraId="7DBDD43F">
      <w:pPr>
        <w:keepNext w:val="0"/>
        <w:keepLines w:val="0"/>
        <w:pageBreakBefore w:val="0"/>
        <w:kinsoku/>
        <w:wordWrap/>
        <w:overflowPunct/>
        <w:topLinePunct w:val="0"/>
        <w:autoSpaceDE/>
        <w:autoSpaceDN/>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w:t>
      </w:r>
      <w:r>
        <w:rPr>
          <w:rFonts w:hint="eastAsia" w:ascii="宋体" w:hAnsi="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、乙方投标文件作为合同有效附件，具有同等法律效力。</w:t>
      </w:r>
    </w:p>
    <w:p w14:paraId="4DE60AED">
      <w:pPr>
        <w:keepNext w:val="0"/>
        <w:keepLines w:val="0"/>
        <w:pageBreakBefore w:val="0"/>
        <w:kinsoku/>
        <w:wordWrap/>
        <w:overflowPunct/>
        <w:topLinePunct w:val="0"/>
        <w:autoSpaceDE/>
        <w:autoSpaceDN/>
        <w:bidi w:val="0"/>
        <w:spacing w:line="500" w:lineRule="exact"/>
        <w:ind w:firstLine="480" w:firstLineChars="200"/>
        <w:textAlignment w:val="baseline"/>
        <w:rPr>
          <w:rFonts w:hint="eastAsia" w:ascii="宋体" w:hAnsi="宋体" w:eastAsia="宋体" w:cs="宋体"/>
          <w:i/>
          <w:color w:val="auto"/>
          <w:spacing w:val="10"/>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pacing w:val="10"/>
          <w:sz w:val="24"/>
          <w:szCs w:val="24"/>
          <w:highlight w:val="none"/>
        </w:rPr>
        <w:t>合同中其他未尽事宜由双方协商解决，并作出补充规定，补充规定与本合同具有同等效力。</w:t>
      </w:r>
    </w:p>
    <w:p w14:paraId="54CFA031">
      <w:pPr>
        <w:keepNext w:val="0"/>
        <w:keepLines w:val="0"/>
        <w:pageBreakBefore w:val="0"/>
        <w:widowControl/>
        <w:kinsoku/>
        <w:wordWrap/>
        <w:overflowPunct/>
        <w:topLinePunct w:val="0"/>
        <w:autoSpaceDE/>
        <w:autoSpaceDN/>
        <w:bidi w:val="0"/>
        <w:spacing w:before="0" w:after="0" w:line="500" w:lineRule="exact"/>
        <w:ind w:firstLine="480" w:firstLineChars="200"/>
        <w:jc w:val="left"/>
        <w:rPr>
          <w:rFonts w:hint="eastAsia" w:ascii="宋体" w:hAnsi="宋体" w:eastAsia="宋体" w:cs="宋体"/>
          <w:i w:val="0"/>
          <w:iCs/>
          <w:color w:val="auto"/>
          <w:spacing w:val="10"/>
          <w:kern w:val="0"/>
          <w:sz w:val="24"/>
          <w:szCs w:val="24"/>
          <w:highlight w:val="none"/>
          <w:lang w:val="en-US" w:eastAsia="zh-CN" w:bidi="ar-SA"/>
        </w:rPr>
      </w:pPr>
      <w:r>
        <w:rPr>
          <w:rFonts w:hint="eastAsia" w:ascii="宋体" w:hAnsi="宋体" w:eastAsia="宋体" w:cs="宋体"/>
          <w:i w:val="0"/>
          <w:iCs/>
          <w:color w:val="auto"/>
          <w:kern w:val="0"/>
          <w:sz w:val="24"/>
          <w:szCs w:val="24"/>
          <w:highlight w:val="none"/>
          <w:lang w:val="en-US" w:eastAsia="zh-CN" w:bidi="ar-SA"/>
        </w:rPr>
        <w:t>4</w:t>
      </w:r>
      <w:r>
        <w:rPr>
          <w:rFonts w:hint="eastAsia" w:ascii="宋体" w:hAnsi="宋体" w:eastAsia="宋体" w:cs="宋体"/>
          <w:i/>
          <w:iCs/>
          <w:color w:val="auto"/>
          <w:kern w:val="0"/>
          <w:sz w:val="24"/>
          <w:szCs w:val="24"/>
          <w:highlight w:val="none"/>
          <w:lang w:val="en-US" w:eastAsia="zh-CN" w:bidi="ar-SA"/>
        </w:rPr>
        <w:t>、</w:t>
      </w:r>
      <w:r>
        <w:rPr>
          <w:rFonts w:hint="eastAsia" w:ascii="宋体" w:hAnsi="宋体" w:eastAsia="宋体" w:cs="宋体"/>
          <w:i w:val="0"/>
          <w:iCs/>
          <w:color w:val="auto"/>
          <w:spacing w:val="10"/>
          <w:kern w:val="0"/>
          <w:sz w:val="24"/>
          <w:szCs w:val="24"/>
          <w:highlight w:val="none"/>
          <w:lang w:val="en-US" w:eastAsia="zh-CN" w:bidi="ar-SA"/>
        </w:rPr>
        <w:t>本合同发生争议时，由当事人双方协商解决。协商不成，</w:t>
      </w:r>
      <w:r>
        <w:rPr>
          <w:rFonts w:hint="eastAsia" w:ascii="宋体" w:hAnsi="宋体" w:cs="宋体"/>
          <w:i w:val="0"/>
          <w:iCs/>
          <w:color w:val="auto"/>
          <w:spacing w:val="10"/>
          <w:kern w:val="0"/>
          <w:sz w:val="24"/>
          <w:szCs w:val="24"/>
          <w:highlight w:val="none"/>
          <w:lang w:val="en-US" w:eastAsia="zh-CN" w:bidi="ar-SA"/>
        </w:rPr>
        <w:t>向</w:t>
      </w:r>
      <w:r>
        <w:rPr>
          <w:rFonts w:hint="eastAsia" w:ascii="宋体" w:hAnsi="宋体" w:eastAsia="宋体" w:cs="宋体"/>
          <w:i w:val="0"/>
          <w:iCs/>
          <w:color w:val="auto"/>
          <w:spacing w:val="10"/>
          <w:kern w:val="0"/>
          <w:sz w:val="24"/>
          <w:szCs w:val="24"/>
          <w:highlight w:val="none"/>
          <w:lang w:val="en-US" w:eastAsia="zh-CN" w:bidi="ar-SA"/>
        </w:rPr>
        <w:t>甲方所在地人民法院起诉。</w:t>
      </w:r>
    </w:p>
    <w:p w14:paraId="799217BB">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Cs/>
          <w:color w:val="auto"/>
          <w:kern w:val="44"/>
          <w:sz w:val="24"/>
          <w:szCs w:val="24"/>
          <w:highlight w:val="none"/>
        </w:rPr>
      </w:pPr>
      <w:r>
        <w:rPr>
          <w:rFonts w:hint="eastAsia" w:ascii="宋体" w:hAnsi="宋体" w:eastAsia="宋体" w:cs="宋体"/>
          <w:bCs/>
          <w:color w:val="auto"/>
          <w:kern w:val="44"/>
          <w:sz w:val="24"/>
          <w:szCs w:val="24"/>
          <w:highlight w:val="none"/>
        </w:rPr>
        <w:t>附件：污水处理站运维监管考核办法</w:t>
      </w:r>
    </w:p>
    <w:tbl>
      <w:tblPr>
        <w:tblStyle w:val="6"/>
        <w:tblW w:w="105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4"/>
        <w:gridCol w:w="1237"/>
        <w:gridCol w:w="683"/>
        <w:gridCol w:w="3875"/>
        <w:gridCol w:w="3350"/>
        <w:gridCol w:w="708"/>
      </w:tblGrid>
      <w:tr w14:paraId="5E334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E3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检查项目</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A4E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检查内容</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5E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考核分值</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4F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考核标准</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271FB">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评分办法</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E48E8">
            <w:pPr>
              <w:keepNext w:val="0"/>
              <w:keepLines w:val="0"/>
              <w:widowControl/>
              <w:suppressLineNumbers w:val="0"/>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实际得分</w:t>
            </w:r>
          </w:p>
        </w:tc>
      </w:tr>
      <w:tr w14:paraId="37DB4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6"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02851D07">
            <w:pPr>
              <w:jc w:val="left"/>
              <w:rPr>
                <w:rFonts w:hint="eastAsia" w:ascii="宋体" w:hAnsi="宋体" w:eastAsia="宋体" w:cs="宋体"/>
                <w:i w:val="0"/>
                <w:iCs w:val="0"/>
                <w:color w:val="000000"/>
                <w:sz w:val="24"/>
                <w:szCs w:val="24"/>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CC2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污泥池</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13B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43BE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查看储泥池运行是否正常，储泥池液位与剩余污泥泵有联动控制，确保储泥池液位在设计范围之内 。</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top"/>
          </w:tcPr>
          <w:p w14:paraId="4EC0E324">
            <w:pPr>
              <w:keepNext w:val="0"/>
              <w:keepLines w:val="0"/>
              <w:widowControl/>
              <w:suppressLineNumbers w:val="0"/>
              <w:ind w:right="-71" w:rightChars="-34"/>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储泥池未正常运行不得分；无清池维护记录减1分；储泥池液位与污泥泵房剩余污泥泵有联动控制不正常扣1分。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1A9107D5">
            <w:pPr>
              <w:jc w:val="left"/>
              <w:rPr>
                <w:rFonts w:hint="eastAsia" w:ascii="宋体" w:hAnsi="宋体" w:eastAsia="宋体" w:cs="宋体"/>
                <w:i w:val="0"/>
                <w:iCs w:val="0"/>
                <w:color w:val="000000"/>
                <w:sz w:val="24"/>
                <w:szCs w:val="24"/>
                <w:highlight w:val="none"/>
                <w:u w:val="none"/>
              </w:rPr>
            </w:pPr>
          </w:p>
        </w:tc>
      </w:tr>
      <w:tr w14:paraId="74F59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3"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B4E7349">
            <w:pPr>
              <w:jc w:val="left"/>
              <w:rPr>
                <w:rFonts w:hint="eastAsia" w:ascii="宋体" w:hAnsi="宋体" w:eastAsia="宋体" w:cs="宋体"/>
                <w:i w:val="0"/>
                <w:iCs w:val="0"/>
                <w:color w:val="000000"/>
                <w:sz w:val="24"/>
                <w:szCs w:val="24"/>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F6D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除臭系统</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AD0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top"/>
          </w:tcPr>
          <w:p w14:paraId="4FC2E186">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除臭系统运行正常，系统的振动、噪声、密封等情况符合设计要求；定期对生物除臭系统进行维护并有维护记录。</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C049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现场查看运行情况，运行不正常不得分；没有生物除臭系统定期维护记录的扣1分。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5A9DAC61">
            <w:pPr>
              <w:jc w:val="left"/>
              <w:rPr>
                <w:rFonts w:hint="eastAsia" w:ascii="宋体" w:hAnsi="宋体" w:eastAsia="宋体" w:cs="宋体"/>
                <w:i w:val="0"/>
                <w:iCs w:val="0"/>
                <w:color w:val="000000"/>
                <w:sz w:val="24"/>
                <w:szCs w:val="24"/>
                <w:highlight w:val="none"/>
                <w:u w:val="none"/>
              </w:rPr>
            </w:pPr>
          </w:p>
        </w:tc>
      </w:tr>
      <w:tr w14:paraId="61C2B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1"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13909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水质检测</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014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监测仪器</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14E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7DA7E">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污水处理站的运行应有化验数据的支撑和指导，配备相应监测仪器，可用于常规化验项目如pH、余氯、DO、MLSS的检测。</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C0C1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检测设备配备不足缺1项扣1分，扣完为止；监测仪器配备但不能正常工作的缺1项扣1分，扣完为止。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1974FBF8">
            <w:pPr>
              <w:jc w:val="left"/>
              <w:rPr>
                <w:rFonts w:hint="eastAsia" w:ascii="宋体" w:hAnsi="宋体" w:eastAsia="宋体" w:cs="宋体"/>
                <w:i w:val="0"/>
                <w:iCs w:val="0"/>
                <w:color w:val="000000"/>
                <w:sz w:val="24"/>
                <w:szCs w:val="24"/>
                <w:highlight w:val="none"/>
                <w:u w:val="none"/>
              </w:rPr>
            </w:pPr>
          </w:p>
        </w:tc>
      </w:tr>
      <w:tr w14:paraId="471AE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6"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916201">
            <w:pPr>
              <w:jc w:val="right"/>
              <w:rPr>
                <w:rFonts w:hint="eastAsia" w:ascii="宋体" w:hAnsi="宋体" w:eastAsia="宋体" w:cs="宋体"/>
                <w:i w:val="0"/>
                <w:iCs w:val="0"/>
                <w:color w:val="000000"/>
                <w:sz w:val="24"/>
                <w:szCs w:val="24"/>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971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监测频次</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98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4263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pH、余氯每天两次，DO、MLSS监测频次依据《城市污水处理厂运行、维护及其安全技术规程》中的规定。</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2749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化验分析项目及频次齐全，得3分；项目基本齐全，频次基本到位，得2分；项目未开展不得分。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127458A7">
            <w:pPr>
              <w:jc w:val="left"/>
              <w:rPr>
                <w:rFonts w:hint="eastAsia" w:ascii="宋体" w:hAnsi="宋体" w:eastAsia="宋体" w:cs="宋体"/>
                <w:i w:val="0"/>
                <w:iCs w:val="0"/>
                <w:color w:val="000000"/>
                <w:sz w:val="24"/>
                <w:szCs w:val="24"/>
                <w:highlight w:val="none"/>
                <w:u w:val="none"/>
              </w:rPr>
            </w:pPr>
          </w:p>
        </w:tc>
      </w:tr>
      <w:tr w14:paraId="2D8A7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1"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E931D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设备运行管理</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C8C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设备保养</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6F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14F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有健全的维护、保养制度。明确规定维护保养的条件和计划，主要设备的维护保养具体的步骤和要求、维护保养应有详细的记录。</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1396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无维保制度扣3分，记录有误扣1分，缺失扣1分，扣完为止。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29A2DDFF">
            <w:pPr>
              <w:jc w:val="left"/>
              <w:rPr>
                <w:rFonts w:hint="eastAsia" w:ascii="宋体" w:hAnsi="宋体" w:eastAsia="宋体" w:cs="宋体"/>
                <w:i w:val="0"/>
                <w:iCs w:val="0"/>
                <w:color w:val="000000"/>
                <w:sz w:val="24"/>
                <w:szCs w:val="24"/>
                <w:highlight w:val="none"/>
                <w:u w:val="none"/>
              </w:rPr>
            </w:pPr>
          </w:p>
        </w:tc>
      </w:tr>
      <w:tr w14:paraId="4AD30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9"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A42E728">
            <w:pPr>
              <w:jc w:val="right"/>
              <w:rPr>
                <w:rFonts w:hint="eastAsia" w:ascii="宋体" w:hAnsi="宋体" w:eastAsia="宋体" w:cs="宋体"/>
                <w:i w:val="0"/>
                <w:iCs w:val="0"/>
                <w:color w:val="000000"/>
                <w:sz w:val="24"/>
                <w:szCs w:val="24"/>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35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设备检修</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2FE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11AEE">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有健全的检修制度，建立设备的巡检制度，上述内容要有责任人及详细的记录；分析设备状态(运行时振动、温度、噪声、及各项性能参数等),在此基础上确定的设备检修计划，设备检修既右详细记录</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936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无设备检查制度扣2分，记录有误扣1分，缺失扣1分，扣完为止。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265643D3">
            <w:pPr>
              <w:jc w:val="left"/>
              <w:rPr>
                <w:rFonts w:hint="eastAsia" w:ascii="宋体" w:hAnsi="宋体" w:eastAsia="宋体" w:cs="宋体"/>
                <w:i w:val="0"/>
                <w:iCs w:val="0"/>
                <w:color w:val="000000"/>
                <w:sz w:val="24"/>
                <w:szCs w:val="24"/>
                <w:highlight w:val="none"/>
                <w:u w:val="none"/>
              </w:rPr>
            </w:pPr>
          </w:p>
        </w:tc>
      </w:tr>
      <w:tr w14:paraId="520AC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5"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834A3F2">
            <w:pPr>
              <w:jc w:val="right"/>
              <w:rPr>
                <w:rFonts w:hint="eastAsia" w:ascii="宋体" w:hAnsi="宋体" w:eastAsia="宋体" w:cs="宋体"/>
                <w:i w:val="0"/>
                <w:iCs w:val="0"/>
                <w:color w:val="000000"/>
                <w:sz w:val="24"/>
                <w:szCs w:val="24"/>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36F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操作规范</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3D7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AE1A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构筑物、设备、工艺等各项操作规程应健全、科学、完善，操作规范应符合以下要求：包含主要生产工艺，其中含沉淀池、A</w:t>
            </w:r>
            <w:r>
              <w:rPr>
                <w:rFonts w:hint="eastAsia" w:ascii="宋体" w:hAnsi="宋体" w:eastAsia="宋体" w:cs="宋体"/>
                <w:color w:val="000000"/>
                <w:sz w:val="24"/>
                <w:szCs w:val="24"/>
                <w:highlight w:val="none"/>
                <w:u w:val="none"/>
                <w:lang w:val="en-US" w:eastAsia="zh-CN" w:bidi="ar"/>
              </w:rPr>
              <w:t>²O工艺、沉淀池、消毒池、污泥池等；关键岗位及设备有明确的操作规范，包括配电室、鼓风机房、脱水机房、提升泵、、污泥回流泵、格栅间以及臭气处理系统。</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7F3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无操作规范的扣2分，记录有误扣1分，缺失扣1分，扣完为止。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3F33CF42">
            <w:pPr>
              <w:jc w:val="left"/>
              <w:rPr>
                <w:rFonts w:hint="eastAsia" w:ascii="宋体" w:hAnsi="宋体" w:eastAsia="宋体" w:cs="宋体"/>
                <w:i w:val="0"/>
                <w:iCs w:val="0"/>
                <w:color w:val="000000"/>
                <w:sz w:val="24"/>
                <w:szCs w:val="24"/>
                <w:highlight w:val="none"/>
                <w:u w:val="none"/>
              </w:rPr>
            </w:pPr>
          </w:p>
        </w:tc>
      </w:tr>
      <w:tr w14:paraId="1571B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CE2006E">
            <w:pPr>
              <w:jc w:val="right"/>
              <w:rPr>
                <w:rFonts w:hint="eastAsia" w:ascii="宋体" w:hAnsi="宋体" w:eastAsia="宋体" w:cs="宋体"/>
                <w:i w:val="0"/>
                <w:iCs w:val="0"/>
                <w:color w:val="000000"/>
                <w:sz w:val="24"/>
                <w:szCs w:val="24"/>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7CF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在线监测</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C73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6299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现场查看在线pH、余氯监测仪，流量计及液位计等运行状况及灵敏度。</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8376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检查每发现一处不正常扣2分，不灵敏扣1分，扣完为止。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45FD7266">
            <w:pPr>
              <w:jc w:val="left"/>
              <w:rPr>
                <w:rFonts w:hint="eastAsia" w:ascii="宋体" w:hAnsi="宋体" w:eastAsia="宋体" w:cs="宋体"/>
                <w:i w:val="0"/>
                <w:iCs w:val="0"/>
                <w:color w:val="000000"/>
                <w:sz w:val="24"/>
                <w:szCs w:val="24"/>
                <w:highlight w:val="none"/>
                <w:u w:val="none"/>
              </w:rPr>
            </w:pPr>
          </w:p>
        </w:tc>
      </w:tr>
      <w:tr w14:paraId="0F7DB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CC4E4E">
            <w:pPr>
              <w:jc w:val="right"/>
              <w:rPr>
                <w:rFonts w:hint="eastAsia" w:ascii="宋体" w:hAnsi="宋体" w:eastAsia="宋体" w:cs="宋体"/>
                <w:i w:val="0"/>
                <w:iCs w:val="0"/>
                <w:color w:val="000000"/>
                <w:sz w:val="24"/>
                <w:szCs w:val="24"/>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E56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设备巡检</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895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2E5B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依照污水处理站工艺设备巡检表按时定期巡检，详见招标文件。</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BCB4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检查中发现一次扣1分，扣完为止。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367B7D38">
            <w:pPr>
              <w:jc w:val="left"/>
              <w:rPr>
                <w:rFonts w:hint="eastAsia" w:ascii="宋体" w:hAnsi="宋体" w:eastAsia="宋体" w:cs="宋体"/>
                <w:i w:val="0"/>
                <w:iCs w:val="0"/>
                <w:color w:val="000000"/>
                <w:sz w:val="24"/>
                <w:szCs w:val="24"/>
                <w:highlight w:val="none"/>
                <w:u w:val="none"/>
              </w:rPr>
            </w:pPr>
          </w:p>
        </w:tc>
      </w:tr>
      <w:tr w14:paraId="5D2D8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1"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BE703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台账管理</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8B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污水台帐</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ACB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B168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台帐内容包括：设备、流量计、仪表开启及运行记录，工艺控制参数，值班人、交接班记录等记录齐全。</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255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污水运行台帐记录齐全、真实可靠得3分；运行台帐记录不齐全缺一项扣1分，扣完为止；无台账或数据不真实不得分。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54FF904F">
            <w:pPr>
              <w:jc w:val="left"/>
              <w:rPr>
                <w:rFonts w:hint="eastAsia" w:ascii="宋体" w:hAnsi="宋体" w:eastAsia="宋体" w:cs="宋体"/>
                <w:i w:val="0"/>
                <w:iCs w:val="0"/>
                <w:color w:val="000000"/>
                <w:sz w:val="24"/>
                <w:szCs w:val="24"/>
                <w:highlight w:val="none"/>
                <w:u w:val="none"/>
              </w:rPr>
            </w:pPr>
          </w:p>
        </w:tc>
      </w:tr>
      <w:tr w14:paraId="319E5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1"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410B5B6">
            <w:pPr>
              <w:jc w:val="right"/>
              <w:rPr>
                <w:rFonts w:hint="eastAsia" w:ascii="宋体" w:hAnsi="宋体" w:eastAsia="宋体" w:cs="宋体"/>
                <w:i w:val="0"/>
                <w:iCs w:val="0"/>
                <w:color w:val="000000"/>
                <w:sz w:val="24"/>
                <w:szCs w:val="24"/>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F5A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药品台账</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DA7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2E28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化学药剂的贮存应符合国家现行有关规定，库房严格执行一门双锁制度，库存药品、实际用量与供应商配送量必须一致。</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6047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未按国家现行有关规定存放药剂、检查中发现未执行双人双锁或库存量、实际使用量与供应数量不一致时不得分。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318B6F15">
            <w:pPr>
              <w:jc w:val="left"/>
              <w:rPr>
                <w:rFonts w:hint="eastAsia" w:ascii="宋体" w:hAnsi="宋体" w:eastAsia="宋体" w:cs="宋体"/>
                <w:i w:val="0"/>
                <w:iCs w:val="0"/>
                <w:color w:val="000000"/>
                <w:sz w:val="24"/>
                <w:szCs w:val="24"/>
                <w:highlight w:val="none"/>
                <w:u w:val="none"/>
              </w:rPr>
            </w:pPr>
          </w:p>
        </w:tc>
      </w:tr>
      <w:tr w14:paraId="53164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7"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2D1BC48">
            <w:pPr>
              <w:jc w:val="right"/>
              <w:rPr>
                <w:rFonts w:hint="eastAsia" w:ascii="宋体" w:hAnsi="宋体" w:eastAsia="宋体" w:cs="宋体"/>
                <w:i w:val="0"/>
                <w:iCs w:val="0"/>
                <w:color w:val="000000"/>
                <w:sz w:val="24"/>
                <w:szCs w:val="24"/>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E20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污泥台帐</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8A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5E8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污泥台帐包括脱水机的开停、运行时间、污泥产量等记录，以及絮凝剂的配置及用量、药泵开启时间、污泥外运记录等，值班人、接班人、交接班情况等应记录齐全。</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992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污泥处理运行台帐和污泥处置凭证记录齐全、真实可靠，得1分；记录数据不真实不得分；无台帐不得分。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32CC8313">
            <w:pPr>
              <w:jc w:val="left"/>
              <w:rPr>
                <w:rFonts w:hint="eastAsia" w:ascii="宋体" w:hAnsi="宋体" w:eastAsia="宋体" w:cs="宋体"/>
                <w:i w:val="0"/>
                <w:iCs w:val="0"/>
                <w:color w:val="000000"/>
                <w:sz w:val="24"/>
                <w:szCs w:val="24"/>
                <w:highlight w:val="none"/>
                <w:u w:val="none"/>
              </w:rPr>
            </w:pPr>
          </w:p>
        </w:tc>
      </w:tr>
      <w:tr w14:paraId="142ED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813AF36">
            <w:pPr>
              <w:jc w:val="right"/>
              <w:rPr>
                <w:rFonts w:hint="eastAsia" w:ascii="宋体" w:hAnsi="宋体" w:eastAsia="宋体" w:cs="宋体"/>
                <w:i w:val="0"/>
                <w:iCs w:val="0"/>
                <w:color w:val="000000"/>
                <w:sz w:val="24"/>
                <w:szCs w:val="24"/>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0E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监测台帐</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5CF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56E2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记录真实可靠，方法依据、计算过程标示清楚，有分析人、复核人签字等。</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0C78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记录齐全、真实、可靠，得3分；记录不真实，不得分；缺少一项扣1分,扣完为止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3BA5C944">
            <w:pPr>
              <w:jc w:val="left"/>
              <w:rPr>
                <w:rFonts w:hint="eastAsia" w:ascii="宋体" w:hAnsi="宋体" w:eastAsia="宋体" w:cs="宋体"/>
                <w:i w:val="0"/>
                <w:iCs w:val="0"/>
                <w:color w:val="000000"/>
                <w:sz w:val="24"/>
                <w:szCs w:val="24"/>
                <w:highlight w:val="none"/>
                <w:u w:val="none"/>
              </w:rPr>
            </w:pPr>
          </w:p>
        </w:tc>
      </w:tr>
      <w:tr w14:paraId="3D40A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7"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B345CDE">
            <w:pPr>
              <w:jc w:val="right"/>
              <w:rPr>
                <w:rFonts w:hint="eastAsia" w:ascii="宋体" w:hAnsi="宋体" w:eastAsia="宋体" w:cs="宋体"/>
                <w:i w:val="0"/>
                <w:iCs w:val="0"/>
                <w:color w:val="000000"/>
                <w:sz w:val="24"/>
                <w:szCs w:val="24"/>
                <w:highlight w:val="none"/>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E6E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台帐统计及保管</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25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4971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按时做好各岗位运行记录和统计报表；做好月报、年报的统计；数据应准确无误，字迹清晰，妥善保管。</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5A5C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月报、年报统计真实可靠，运行记录等档案资料妥善保管，得2分；无月报、年报统计不得分。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4497B52D">
            <w:pPr>
              <w:jc w:val="left"/>
              <w:rPr>
                <w:rFonts w:hint="eastAsia" w:ascii="宋体" w:hAnsi="宋体" w:eastAsia="宋体" w:cs="宋体"/>
                <w:i w:val="0"/>
                <w:iCs w:val="0"/>
                <w:color w:val="000000"/>
                <w:sz w:val="24"/>
                <w:szCs w:val="24"/>
                <w:highlight w:val="none"/>
                <w:u w:val="none"/>
              </w:rPr>
            </w:pPr>
          </w:p>
        </w:tc>
      </w:tr>
      <w:tr w14:paraId="533B4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71700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生产运行管理</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FC3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持证上岗</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2E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5D6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操作人员持证上岗，特殊工种需进行相应的技术培训并提供上岗资格证书。</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745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现场核验上岗资格证并在医院备案，上岗资格证失效或作假每查出一份扣1分。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0E7205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B81E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19E7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C3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人员配备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D30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B44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根据招标文件要求，提供运行人员名单及岗位分工，并根据污水处理站实际情况合理排班。</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C67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现场核验在岗人数，每缺少一人扣1分并在季度末按照岗位人数比例扣除运行费用。</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4D7CEC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8FAF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FCF7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91C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生产计划</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6D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117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科学、合理制定年度、月度生产计划，并对计划组织有序地实施。</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E86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月度生产计划详细并实施得2分，有生产计划未实施得1分，无生产计划不得分。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3C50B2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EC5F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74F7D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548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人员培训</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0B7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794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每季度制定技能技术培训，并组织考核与实践。</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492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依据查看培训及考核记录，现场提问培训内容并演示操作流程具体打分。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68FAFB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7F60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3717E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安全管理</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670C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管理制度</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A80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2.5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top"/>
          </w:tcPr>
          <w:p w14:paraId="384B74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有健全的安全管理机构，安全规章制度，安全检查记录，发现安全隐患有积极响应措施、并能及时解决，安全检查台账及安全隐患排除记录齐全</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50C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缺一项扣1分，扣完为止。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5884FD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6F57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3FB7B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BA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安全规程</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12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2.5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B8A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操作规程齐全、到位，岗位人员了解安全保护措施，重点部位安全警示牌，危险品、易燃、易爆品有相应的管理规定。</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567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缺一项扣1分，扣完为止。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55535C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1D24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7F4D5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E37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防护用品</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37F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2.5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45E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按医院规定配备相应的劳动防护用具，在岗员工应熟悉其功能并能正确穿戴。</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AB0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检查中每缺少一样防护品扣1分，不能熟悉穿戴扣1分，扣完为止。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4F3869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CC9B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D715B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978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安全培训</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A0F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2.5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13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安全培训需有年度月度计划，结合实际工作对职工进行安全教育并建立安全教育台账。</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A80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缺一项扣1分，扣完为止。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3401EF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7071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top"/>
          </w:tcPr>
          <w:p w14:paraId="1E31C1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工艺运行管理</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37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格栅</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8B4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9E2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格栅过水通畅，有效拦截污水中的杂物，减轻后续处理设施的处理负荷。</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4A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格栅设备无法正常运行，此项不得分，格栅出渣口及机架上有较多悬挂污物扣1分。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2AA6DA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631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top"/>
          </w:tcPr>
          <w:p w14:paraId="73DA04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73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调节池</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F3D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4A6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通过搅拌方式确保进水均匀混合接触。</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303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进水混合不均匀有明显漂浮物不得分，搅拌器不能正常运转每台减1分。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64CE93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DD4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top"/>
          </w:tcPr>
          <w:p w14:paraId="0158CD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489B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提升泵</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5BD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52C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根据液位变化自动或远程控制水泵运行，平稳、连续、有效地提升污水。</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CA3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水泵运行良好且水位正常得3分，水泵每损坏1台或水位不正常扣2分。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3F0EC9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C235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top"/>
          </w:tcPr>
          <w:p w14:paraId="4C4A66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E20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A2/O多级生化主体</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AE8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9B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工艺运行参数控制合理，污水中的污染物得到有效降解。</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C29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根据检查生物反应池相应生产运行报表，工艺运行参数控制是否符合相应的生物处理类型设计参数具体打分。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52C9E3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75EE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top"/>
          </w:tcPr>
          <w:p w14:paraId="7ED9EE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8C3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BB0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4C2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查看溶解氧、沉降比等指标，检查设备供氧能力能否平稳、连续运行。</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E4B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供氧设备无法满足生产工艺溶解氧需求，此项不得分；设备无法平稳、连续运行，减1分。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507394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34B1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top"/>
          </w:tcPr>
          <w:p w14:paraId="7A24EF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5F3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沉淀池</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214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DF2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查看各池组配水是否均匀、水流稳定；三角堰板出水是否均匀，池面有无漂浮物，表面负荷在合理范围内。</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73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各池组及三角堰板出水不均匀减1分，池面有大面积或大块浮泥减0.5分。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52C35B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1338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top"/>
          </w:tcPr>
          <w:p w14:paraId="4DD650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D98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消毒设施</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E56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C4D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检查设备的运行状况、记录及清洗记录，加药泵和管线应保持管道通畅，无漏药现象。</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E4B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运行不正常不得分；设备无检修或清洗记录减2分，加药管线、设备有漏药现象减1分。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77A50B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8066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22BF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环境卫生</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DE0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室外</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B59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A43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管道色标明显、阀门井、计量井等处整齐完好，并无积水污物；草坪中无杂草，站内照明设施完好。</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2E0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每一项不符合扣1分，扣完为止。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61A582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1D5A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4B870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742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室内</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EBC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637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值班室、操作室、库房物品摆放整齐，卫生整洁，无烟头污渍等，照明齐全有效；门、窗、玻璃明亮无破损，墙壁整洁；办公桌椅、操作工具摆放整齐。</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C7A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每有一项不符合扣1分，扣完为止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41FFD0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EEBA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AF68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A150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构筑物完好</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518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56D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构筑物无渗漏；油漆良好无锈蚀；堰口、池壁保持清洁、完好、出水均匀；地面清洁；闸阀无渗漏、安全有效。</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3C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每有一项不符合扣1分，扣完为止。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100426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4240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AC1E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工作纪律</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5BD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仪容言行</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241B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62F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统一身着工作服并佩戴胸卡，严禁在夏季穿背心、短裤、凉鞋在工作区工作；言行举止文明、礼貌待人。</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AF3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每有一项不符合扣1分，扣完为止。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4EF1BB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12CB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18B8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632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安全防护</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A81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top"/>
          </w:tcPr>
          <w:p w14:paraId="1CE85A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加药、水质检测栅渣及污泥清理过程中必须按照规定佩戴相关防护用品。</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8CF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每有一项不符合扣1分，扣完为止。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142DBC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5790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78121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78DD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工作纪律</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44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5FF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按时交接班：一般提前15分钟进行交接，并做好交接前准备工作；做到不迟到早退、不串岗、不脱岗、不无故缺勤，严格执行请假制度、不私自调班。</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F5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检查中缺勤本项不得分，其佘内容发现一次扣1分、扣完为止。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45771B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96BB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93E0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9B0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2AF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158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上班期间不得在非吸烟区吸烟，工作时间严禁聚众喝酒。</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25C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检查中发现喝酒本项不得分，其余内容发现一次扣1分、扣完为止。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07B1DE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978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6FA0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57F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C4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3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9BA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严禁在上班期间在值班室睡觉、玩手机、不允许私自会客、不得擅自离开岗位或干与工作无关的事。</w:t>
            </w:r>
          </w:p>
        </w:tc>
        <w:tc>
          <w:tcPr>
            <w:tcW w:w="3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27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检查中发现一次扣1分，扣完为止。</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top"/>
          </w:tcPr>
          <w:p w14:paraId="7E331A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E5BE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jc w:val="center"/>
        </w:trPr>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25D6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其他事项</w:t>
            </w:r>
          </w:p>
        </w:tc>
        <w:tc>
          <w:tcPr>
            <w:tcW w:w="98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451F27">
            <w:pPr>
              <w:keepNext w:val="0"/>
              <w:keepLines w:val="0"/>
              <w:widowControl/>
              <w:numPr>
                <w:ilvl w:val="0"/>
                <w:numId w:val="0"/>
              </w:numPr>
              <w:suppressLineNumbers w:val="0"/>
              <w:jc w:val="both"/>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1、对于贵令限期整改项目未整改或整改不到位者给予违约金2000元，并在每季度运维管理费中扣除.</w:t>
            </w:r>
          </w:p>
          <w:p w14:paraId="6185FFAC">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2、乙方在运维管理期间工作人员不服从监督管理、无故缺岗、上班玩手机看电视或干与本工作无关，每次以500元违约金形式从每季度运维管理费中扣除。</w:t>
            </w:r>
          </w:p>
          <w:p w14:paraId="65B9A8B3">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3、未按照甲方规定时间对污水处理设施设备、构筑物以及电力系统检修维护，每次以1000元违约金形式在每季  度运维管理费中扣除。</w:t>
            </w:r>
          </w:p>
        </w:tc>
      </w:tr>
    </w:tbl>
    <w:p w14:paraId="1AB6901A">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val="0"/>
          <w:bCs w:val="0"/>
          <w:color w:val="auto"/>
          <w:kern w:val="44"/>
          <w:sz w:val="24"/>
          <w:szCs w:val="24"/>
          <w:highlight w:val="none"/>
        </w:rPr>
      </w:pPr>
      <w:r>
        <w:rPr>
          <w:rFonts w:hint="eastAsia" w:ascii="宋体" w:hAnsi="宋体" w:eastAsia="宋体" w:cs="宋体"/>
          <w:b w:val="0"/>
          <w:bCs w:val="0"/>
          <w:color w:val="auto"/>
          <w:kern w:val="44"/>
          <w:sz w:val="24"/>
          <w:szCs w:val="24"/>
          <w:highlight w:val="none"/>
        </w:rPr>
        <w:t>注：本污水处理站运维监管考核办法实行百分制；目的在于乙方主管及其员工进行考核，以激励乙方更好地服务于污水处理站运行。</w:t>
      </w:r>
    </w:p>
    <w:p w14:paraId="5D893A4C">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val="0"/>
          <w:bCs w:val="0"/>
          <w:color w:val="auto"/>
          <w:kern w:val="44"/>
          <w:sz w:val="24"/>
          <w:szCs w:val="24"/>
          <w:highlight w:val="none"/>
        </w:rPr>
      </w:pPr>
      <w:r>
        <w:rPr>
          <w:rFonts w:hint="eastAsia" w:ascii="宋体" w:hAnsi="宋体" w:eastAsia="宋体" w:cs="宋体"/>
          <w:b w:val="0"/>
          <w:bCs w:val="0"/>
          <w:color w:val="auto"/>
          <w:kern w:val="44"/>
          <w:sz w:val="24"/>
          <w:szCs w:val="24"/>
          <w:highlight w:val="none"/>
        </w:rPr>
        <w:t>1、该考核细则85-90分视为合格、90-95分视为良好、95分以上视为优秀。</w:t>
      </w:r>
      <w:r>
        <w:rPr>
          <w:rFonts w:hint="eastAsia" w:ascii="宋体" w:hAnsi="宋体" w:eastAsia="宋体" w:cs="宋体"/>
          <w:b w:val="0"/>
          <w:bCs w:val="0"/>
          <w:color w:val="auto"/>
          <w:kern w:val="44"/>
          <w:sz w:val="24"/>
          <w:szCs w:val="24"/>
          <w:highlight w:val="none"/>
        </w:rPr>
        <w:tab/>
      </w:r>
    </w:p>
    <w:p w14:paraId="49567793">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val="0"/>
          <w:bCs w:val="0"/>
          <w:color w:val="auto"/>
          <w:kern w:val="44"/>
          <w:sz w:val="24"/>
          <w:szCs w:val="24"/>
          <w:highlight w:val="none"/>
        </w:rPr>
      </w:pPr>
      <w:r>
        <w:rPr>
          <w:rFonts w:hint="eastAsia" w:ascii="宋体" w:hAnsi="宋体" w:eastAsia="宋体" w:cs="宋体"/>
          <w:b w:val="0"/>
          <w:bCs w:val="0"/>
          <w:color w:val="auto"/>
          <w:kern w:val="44"/>
          <w:sz w:val="24"/>
          <w:szCs w:val="24"/>
          <w:highlight w:val="none"/>
        </w:rPr>
        <w:t>2、该考核细则对乙方定期进行考核，每月一次、每季度三次取平均值，若考核不合格每少1分罚款1000元。</w:t>
      </w:r>
    </w:p>
    <w:p w14:paraId="590A877D">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val="0"/>
          <w:bCs w:val="0"/>
          <w:color w:val="auto"/>
          <w:kern w:val="44"/>
          <w:sz w:val="24"/>
          <w:szCs w:val="24"/>
          <w:highlight w:val="none"/>
        </w:rPr>
      </w:pPr>
      <w:r>
        <w:rPr>
          <w:rFonts w:hint="eastAsia" w:ascii="宋体" w:hAnsi="宋体" w:eastAsia="宋体" w:cs="宋体"/>
          <w:b w:val="0"/>
          <w:bCs w:val="0"/>
          <w:color w:val="auto"/>
          <w:kern w:val="44"/>
          <w:sz w:val="24"/>
          <w:szCs w:val="24"/>
          <w:highlight w:val="none"/>
        </w:rPr>
        <w:t>3、该考核细则对乙方在来年再续标给出一定参考。</w:t>
      </w:r>
      <w:r>
        <w:rPr>
          <w:rFonts w:hint="eastAsia" w:ascii="宋体" w:hAnsi="宋体" w:eastAsia="宋体" w:cs="宋体"/>
          <w:b w:val="0"/>
          <w:bCs w:val="0"/>
          <w:color w:val="auto"/>
          <w:kern w:val="44"/>
          <w:sz w:val="24"/>
          <w:szCs w:val="24"/>
          <w:highlight w:val="none"/>
        </w:rPr>
        <w:tab/>
      </w:r>
    </w:p>
    <w:p w14:paraId="7EF66847">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bCs/>
          <w:color w:val="auto"/>
          <w:kern w:val="44"/>
          <w:sz w:val="24"/>
          <w:szCs w:val="24"/>
          <w:highlight w:val="none"/>
        </w:rPr>
      </w:pPr>
    </w:p>
    <w:p w14:paraId="1452BC3A">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bCs/>
          <w:color w:val="auto"/>
          <w:kern w:val="44"/>
          <w:sz w:val="24"/>
          <w:szCs w:val="24"/>
          <w:highlight w:val="none"/>
        </w:rPr>
      </w:pPr>
    </w:p>
    <w:p w14:paraId="2FEA8BA0">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bCs/>
          <w:color w:val="auto"/>
          <w:kern w:val="44"/>
          <w:sz w:val="24"/>
          <w:szCs w:val="24"/>
          <w:highlight w:val="none"/>
          <w:lang w:val="en-US" w:eastAsia="zh-CN"/>
        </w:rPr>
      </w:pPr>
      <w:r>
        <w:rPr>
          <w:rFonts w:hint="eastAsia" w:ascii="宋体" w:hAnsi="宋体" w:eastAsia="宋体" w:cs="宋体"/>
          <w:b/>
          <w:bCs/>
          <w:color w:val="auto"/>
          <w:kern w:val="44"/>
          <w:sz w:val="24"/>
          <w:szCs w:val="24"/>
          <w:highlight w:val="none"/>
        </w:rPr>
        <w:t>甲方：西安市第八医院（盖章）</w:t>
      </w:r>
      <w:r>
        <w:rPr>
          <w:rFonts w:hint="eastAsia" w:ascii="宋体" w:hAnsi="宋体" w:cs="宋体"/>
          <w:b/>
          <w:bCs/>
          <w:color w:val="auto"/>
          <w:kern w:val="44"/>
          <w:sz w:val="24"/>
          <w:szCs w:val="24"/>
          <w:highlight w:val="none"/>
          <w:lang w:val="en-US" w:eastAsia="zh-CN"/>
        </w:rPr>
        <w:t xml:space="preserve">            </w:t>
      </w:r>
      <w:r>
        <w:rPr>
          <w:rFonts w:hint="eastAsia" w:ascii="宋体" w:hAnsi="宋体" w:eastAsia="宋体" w:cs="宋体"/>
          <w:b/>
          <w:bCs/>
          <w:color w:val="auto"/>
          <w:kern w:val="44"/>
          <w:sz w:val="24"/>
          <w:szCs w:val="24"/>
          <w:highlight w:val="none"/>
        </w:rPr>
        <w:t xml:space="preserve">乙方：             （盖章）      </w:t>
      </w:r>
    </w:p>
    <w:p w14:paraId="7921364E">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bCs/>
          <w:color w:val="auto"/>
          <w:kern w:val="44"/>
          <w:sz w:val="24"/>
          <w:szCs w:val="24"/>
          <w:highlight w:val="none"/>
          <w:u w:val="single"/>
          <w:lang w:val="en-US" w:eastAsia="zh-CN"/>
        </w:rPr>
      </w:pPr>
      <w:r>
        <w:rPr>
          <w:rFonts w:hint="eastAsia" w:ascii="宋体" w:hAnsi="宋体" w:eastAsia="宋体" w:cs="宋体"/>
          <w:b/>
          <w:bCs/>
          <w:color w:val="auto"/>
          <w:kern w:val="44"/>
          <w:sz w:val="24"/>
          <w:szCs w:val="24"/>
          <w:highlight w:val="none"/>
        </w:rPr>
        <w:t xml:space="preserve">法定代表人：          </w:t>
      </w:r>
      <w:r>
        <w:rPr>
          <w:rFonts w:hint="eastAsia" w:ascii="宋体" w:hAnsi="宋体" w:cs="宋体"/>
          <w:b/>
          <w:bCs/>
          <w:color w:val="auto"/>
          <w:kern w:val="44"/>
          <w:sz w:val="24"/>
          <w:szCs w:val="24"/>
          <w:highlight w:val="none"/>
          <w:lang w:val="en-US" w:eastAsia="zh-CN"/>
        </w:rPr>
        <w:t xml:space="preserve">                  </w:t>
      </w:r>
      <w:r>
        <w:rPr>
          <w:rFonts w:hint="eastAsia" w:ascii="宋体" w:hAnsi="宋体" w:eastAsia="宋体" w:cs="宋体"/>
          <w:b/>
          <w:bCs/>
          <w:color w:val="auto"/>
          <w:kern w:val="44"/>
          <w:sz w:val="24"/>
          <w:szCs w:val="24"/>
          <w:highlight w:val="none"/>
        </w:rPr>
        <w:t>法定代表人：</w:t>
      </w:r>
    </w:p>
    <w:p w14:paraId="6BABBA55">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bCs/>
          <w:color w:val="auto"/>
          <w:kern w:val="44"/>
          <w:sz w:val="24"/>
          <w:szCs w:val="24"/>
          <w:highlight w:val="none"/>
          <w:lang w:val="en-US" w:eastAsia="zh-CN"/>
        </w:rPr>
      </w:pPr>
      <w:r>
        <w:rPr>
          <w:rFonts w:hint="eastAsia" w:ascii="宋体" w:hAnsi="宋体" w:eastAsia="宋体" w:cs="宋体"/>
          <w:b/>
          <w:bCs/>
          <w:color w:val="auto"/>
          <w:kern w:val="44"/>
          <w:sz w:val="24"/>
          <w:szCs w:val="24"/>
          <w:highlight w:val="none"/>
        </w:rPr>
        <w:t>委托人：</w:t>
      </w:r>
      <w:r>
        <w:rPr>
          <w:rFonts w:hint="eastAsia" w:ascii="宋体" w:hAnsi="宋体" w:cs="宋体"/>
          <w:b/>
          <w:bCs/>
          <w:color w:val="auto"/>
          <w:kern w:val="44"/>
          <w:sz w:val="24"/>
          <w:szCs w:val="24"/>
          <w:highlight w:val="none"/>
          <w:lang w:val="en-US" w:eastAsia="zh-CN"/>
        </w:rPr>
        <w:t xml:space="preserve">                                </w:t>
      </w:r>
      <w:r>
        <w:rPr>
          <w:rFonts w:hint="eastAsia" w:ascii="宋体" w:hAnsi="宋体" w:eastAsia="宋体" w:cs="宋体"/>
          <w:b/>
          <w:bCs/>
          <w:color w:val="auto"/>
          <w:kern w:val="44"/>
          <w:sz w:val="24"/>
          <w:szCs w:val="24"/>
          <w:highlight w:val="none"/>
        </w:rPr>
        <w:t>委托人：</w:t>
      </w:r>
    </w:p>
    <w:p w14:paraId="1DD03CB5">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bCs/>
          <w:color w:val="auto"/>
          <w:kern w:val="44"/>
          <w:sz w:val="24"/>
          <w:szCs w:val="24"/>
          <w:highlight w:val="none"/>
          <w:u w:val="single"/>
        </w:rPr>
      </w:pPr>
      <w:r>
        <w:rPr>
          <w:rFonts w:hint="eastAsia" w:ascii="宋体" w:hAnsi="宋体" w:eastAsia="宋体" w:cs="宋体"/>
          <w:b/>
          <w:bCs/>
          <w:color w:val="auto"/>
          <w:kern w:val="44"/>
          <w:sz w:val="24"/>
          <w:szCs w:val="24"/>
          <w:highlight w:val="none"/>
        </w:rPr>
        <w:t xml:space="preserve">经办人：    </w:t>
      </w:r>
      <w:r>
        <w:rPr>
          <w:rFonts w:hint="eastAsia" w:ascii="宋体" w:hAnsi="宋体" w:cs="宋体"/>
          <w:b/>
          <w:bCs/>
          <w:color w:val="auto"/>
          <w:kern w:val="44"/>
          <w:sz w:val="24"/>
          <w:szCs w:val="24"/>
          <w:highlight w:val="none"/>
          <w:lang w:val="en-US" w:eastAsia="zh-CN"/>
        </w:rPr>
        <w:t xml:space="preserve">                            </w:t>
      </w:r>
      <w:r>
        <w:rPr>
          <w:rFonts w:hint="eastAsia" w:ascii="宋体" w:hAnsi="宋体" w:eastAsia="宋体" w:cs="宋体"/>
          <w:b/>
          <w:bCs/>
          <w:color w:val="auto"/>
          <w:kern w:val="44"/>
          <w:sz w:val="24"/>
          <w:szCs w:val="24"/>
          <w:highlight w:val="none"/>
        </w:rPr>
        <w:t xml:space="preserve">经办人：    </w:t>
      </w:r>
    </w:p>
    <w:p w14:paraId="6D9D2944">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bCs/>
          <w:color w:val="auto"/>
          <w:kern w:val="44"/>
          <w:sz w:val="24"/>
          <w:szCs w:val="24"/>
          <w:highlight w:val="none"/>
          <w:u w:val="single"/>
        </w:rPr>
      </w:pPr>
      <w:r>
        <w:rPr>
          <w:rFonts w:hint="eastAsia" w:ascii="宋体" w:hAnsi="宋体" w:eastAsia="宋体" w:cs="宋体"/>
          <w:b/>
          <w:bCs/>
          <w:color w:val="auto"/>
          <w:kern w:val="44"/>
          <w:sz w:val="24"/>
          <w:szCs w:val="24"/>
          <w:highlight w:val="none"/>
        </w:rPr>
        <w:t xml:space="preserve">地址：               </w:t>
      </w:r>
      <w:r>
        <w:rPr>
          <w:rFonts w:hint="eastAsia" w:ascii="宋体" w:hAnsi="宋体" w:cs="宋体"/>
          <w:b/>
          <w:bCs/>
          <w:color w:val="auto"/>
          <w:kern w:val="44"/>
          <w:sz w:val="24"/>
          <w:szCs w:val="24"/>
          <w:highlight w:val="none"/>
          <w:lang w:val="en-US" w:eastAsia="zh-CN"/>
        </w:rPr>
        <w:t xml:space="preserve">                   </w:t>
      </w:r>
      <w:r>
        <w:rPr>
          <w:rFonts w:hint="eastAsia" w:ascii="宋体" w:hAnsi="宋体" w:eastAsia="宋体" w:cs="宋体"/>
          <w:b/>
          <w:bCs/>
          <w:color w:val="auto"/>
          <w:kern w:val="44"/>
          <w:sz w:val="24"/>
          <w:szCs w:val="24"/>
          <w:highlight w:val="none"/>
        </w:rPr>
        <w:t xml:space="preserve">地址：           </w:t>
      </w:r>
    </w:p>
    <w:p w14:paraId="328CC3F8">
      <w:pPr>
        <w:keepNext w:val="0"/>
        <w:keepLines w:val="0"/>
        <w:pageBreakBefore w:val="0"/>
        <w:kinsoku/>
        <w:wordWrap/>
        <w:overflowPunct/>
        <w:topLinePunct w:val="0"/>
        <w:autoSpaceDE/>
        <w:autoSpaceDN/>
        <w:bidi w:val="0"/>
        <w:snapToGrid w:val="0"/>
        <w:spacing w:line="500" w:lineRule="exact"/>
        <w:rPr>
          <w:rFonts w:hint="eastAsia" w:ascii="宋体" w:hAnsi="宋体" w:eastAsia="宋体" w:cs="宋体"/>
          <w:b/>
          <w:bCs/>
          <w:color w:val="auto"/>
          <w:kern w:val="44"/>
          <w:sz w:val="24"/>
          <w:szCs w:val="24"/>
          <w:highlight w:val="none"/>
          <w:u w:val="single"/>
        </w:rPr>
      </w:pPr>
      <w:r>
        <w:rPr>
          <w:rFonts w:hint="eastAsia" w:ascii="宋体" w:hAnsi="宋体" w:eastAsia="宋体" w:cs="宋体"/>
          <w:b/>
          <w:bCs/>
          <w:color w:val="auto"/>
          <w:kern w:val="44"/>
          <w:sz w:val="24"/>
          <w:szCs w:val="24"/>
          <w:highlight w:val="none"/>
        </w:rPr>
        <w:t>签订日期：</w:t>
      </w:r>
      <w:r>
        <w:rPr>
          <w:rFonts w:hint="eastAsia" w:ascii="宋体" w:hAnsi="宋体" w:eastAsia="宋体" w:cs="宋体"/>
          <w:b/>
          <w:bCs/>
          <w:color w:val="auto"/>
          <w:kern w:val="44"/>
          <w:sz w:val="24"/>
          <w:szCs w:val="24"/>
          <w:highlight w:val="none"/>
          <w:u w:val="single"/>
        </w:rPr>
        <w:t xml:space="preserve">   年  月   日</w:t>
      </w:r>
      <w:r>
        <w:rPr>
          <w:rFonts w:hint="eastAsia" w:ascii="宋体" w:hAnsi="宋体" w:cs="宋体"/>
          <w:b/>
          <w:bCs/>
          <w:color w:val="auto"/>
          <w:kern w:val="44"/>
          <w:sz w:val="24"/>
          <w:szCs w:val="24"/>
          <w:highlight w:val="none"/>
          <w:u w:val="none"/>
          <w:lang w:val="en-US" w:eastAsia="zh-CN"/>
        </w:rPr>
        <w:t xml:space="preserve">                </w:t>
      </w:r>
      <w:r>
        <w:rPr>
          <w:rFonts w:hint="eastAsia" w:ascii="宋体" w:hAnsi="宋体" w:eastAsia="宋体" w:cs="宋体"/>
          <w:b/>
          <w:bCs/>
          <w:color w:val="auto"/>
          <w:kern w:val="44"/>
          <w:sz w:val="24"/>
          <w:szCs w:val="24"/>
          <w:highlight w:val="none"/>
        </w:rPr>
        <w:t>签订日期：</w:t>
      </w:r>
      <w:r>
        <w:rPr>
          <w:rFonts w:hint="eastAsia" w:ascii="宋体" w:hAnsi="宋体" w:eastAsia="宋体" w:cs="宋体"/>
          <w:b/>
          <w:bCs/>
          <w:color w:val="auto"/>
          <w:kern w:val="44"/>
          <w:sz w:val="24"/>
          <w:szCs w:val="24"/>
          <w:highlight w:val="none"/>
          <w:u w:val="single"/>
        </w:rPr>
        <w:t xml:space="preserve">    年  月   日</w:t>
      </w:r>
    </w:p>
    <w:p w14:paraId="1413BCDE">
      <w:pPr>
        <w:widowControl w:val="0"/>
        <w:ind w:firstLine="420"/>
        <w:jc w:val="both"/>
        <w:rPr>
          <w:rFonts w:hint="eastAsia" w:ascii="Calibri" w:hAnsi="Calibri" w:eastAsia="宋体" w:cs="Times New Roman"/>
          <w:kern w:val="2"/>
          <w:sz w:val="21"/>
          <w:szCs w:val="22"/>
          <w:highlight w:val="none"/>
          <w:lang w:val="en-US" w:eastAsia="zh-CN" w:bidi="ar-SA"/>
        </w:rPr>
      </w:pPr>
    </w:p>
    <w:p w14:paraId="6138539D"/>
    <w:sectPr>
      <w:headerReference r:id="rId9" w:type="default"/>
      <w:footerReference r:id="rId10" w:type="default"/>
      <w:pgSz w:w="11906" w:h="16838"/>
      <w:pgMar w:top="1440" w:right="1417" w:bottom="1440" w:left="141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2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6D60E">
    <w:pPr>
      <w:widowControl w:val="0"/>
      <w:tabs>
        <w:tab w:val="center" w:pos="4153"/>
        <w:tab w:val="right" w:pos="8306"/>
      </w:tabs>
      <w:snapToGrid w:val="0"/>
      <w:jc w:val="left"/>
      <w:rPr>
        <w:rFonts w:ascii="Times New Roman" w:hAnsi="Times New Roman" w:eastAsia="宋体" w:cs="Times New Roman"/>
        <w:kern w:val="2"/>
        <w:sz w:val="18"/>
        <w:szCs w:val="22"/>
        <w:lang w:val="en-US" w:eastAsia="zh-CN" w:bidi="ar-SA"/>
      </w:rPr>
    </w:pPr>
    <w:r>
      <w:rPr>
        <w:rFonts w:ascii="Times New Roman" w:hAnsi="Times New Roman" w:eastAsia="宋体" w:cs="Times New Roman"/>
        <w:kern w:val="2"/>
        <w:sz w:val="18"/>
        <w:szCs w:val="22"/>
        <w:lang w:val="en-US" w:eastAsia="zh-CN" w:bidi="ar-SA"/>
      </w:rPr>
      <w:pict>
        <v:shape id="PowerPlusWaterMarkObject380650" o:spid="_x0000_s2050" o:spt="136" type="#_x0000_t136" style="position:absolute;left:0pt;margin-left:253.1pt;margin-top:685.85pt;height:12.05pt;width:161.45pt;mso-position-horizontal-relative:margin;mso-position-vertical-relative:margin;z-index:-251656192;mso-width-relative:page;mso-height-relative:page;" fillcolor="#0F0E0E" filled="t" stroked="f" coordsize="21600,21600">
          <v:path/>
          <v:fill on="t" opacity="32768f" focussize="0,0"/>
          <v:stroke on="f"/>
          <v:imagedata o:title=""/>
          <o:lock v:ext="edit" aspectratio="t"/>
          <v:textpath on="t" fitshape="t" fitpath="t" trim="t" xscale="f" string="八院总务科" style="font-family:汉仪旗黑KW 55S;font-size:12pt;v-text-align:center;"/>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96F2B">
    <w:pPr>
      <w:widowControl w:val="0"/>
      <w:tabs>
        <w:tab w:val="center" w:pos="4153"/>
        <w:tab w:val="right" w:pos="8306"/>
      </w:tabs>
      <w:snapToGrid w:val="0"/>
      <w:jc w:val="left"/>
      <w:rPr>
        <w:rFonts w:ascii="Times New Roman" w:hAnsi="Times New Roman" w:eastAsia="宋体" w:cs="Times New Roman"/>
        <w:kern w:val="2"/>
        <w:sz w:val="18"/>
        <w:szCs w:val="22"/>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0DAA8">
    <w:pPr>
      <w:widowControl w:val="0"/>
      <w:tabs>
        <w:tab w:val="center" w:pos="4153"/>
        <w:tab w:val="right" w:pos="8306"/>
      </w:tabs>
      <w:snapToGrid w:val="0"/>
      <w:jc w:val="left"/>
      <w:rPr>
        <w:rFonts w:ascii="Times New Roman" w:hAnsi="Times New Roman" w:eastAsia="宋体" w:cs="Times New Roman"/>
        <w:kern w:val="2"/>
        <w:sz w:val="18"/>
        <w:szCs w:val="22"/>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F9ED3">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5D7A16">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85D7A16">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766BD">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ascii="Times New Roman" w:hAnsi="Times New Roman" w:eastAsia="宋体" w:cs="Times New Roman"/>
        <w:kern w:val="2"/>
        <w:sz w:val="18"/>
        <w:szCs w:val="22"/>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9B58">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ascii="Times New Roman" w:hAnsi="Times New Roman" w:eastAsia="宋体" w:cs="Times New Roman"/>
        <w:kern w:val="2"/>
        <w:sz w:val="18"/>
        <w:szCs w:val="22"/>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8805F">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ascii="Times New Roman" w:hAnsi="Times New Roman" w:eastAsia="宋体" w:cs="Times New Roman"/>
        <w:kern w:val="2"/>
        <w:sz w:val="18"/>
        <w:szCs w:val="22"/>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4D644">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814224"/>
    <w:rsid w:val="42814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1"/>
    <w:next w:val="1"/>
    <w:qFormat/>
    <w:uiPriority w:val="0"/>
    <w:pPr>
      <w:ind w:firstLine="420" w:firstLineChars="200"/>
    </w:pPr>
  </w:style>
  <w:style w:type="paragraph" w:styleId="3">
    <w:name w:val="Normal Indent"/>
    <w:basedOn w:val="1"/>
    <w:qFormat/>
    <w:uiPriority w:val="99"/>
    <w:pPr>
      <w:ind w:firstLine="420"/>
    </w:pPr>
  </w:style>
  <w:style w:type="paragraph" w:styleId="4">
    <w:name w:val="footer"/>
    <w:basedOn w:val="1"/>
    <w:qFormat/>
    <w:uiPriority w:val="0"/>
    <w:pPr>
      <w:tabs>
        <w:tab w:val="center" w:pos="4153"/>
        <w:tab w:val="right" w:pos="8306"/>
      </w:tabs>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customStyle="1" w:styleId="8">
    <w:name w:val="font51"/>
    <w:basedOn w:val="7"/>
    <w:qFormat/>
    <w:uiPriority w:val="0"/>
    <w:rPr>
      <w:rFonts w:ascii="方正书宋_GBK" w:hAnsi="方正书宋_GBK" w:eastAsia="方正书宋_GBK" w:cs="方正书宋_GBK"/>
      <w:color w:val="000000"/>
      <w:sz w:val="22"/>
      <w:szCs w:val="22"/>
      <w:u w:val="none"/>
    </w:rPr>
  </w:style>
  <w:style w:type="character" w:customStyle="1" w:styleId="9">
    <w:name w:val="font11"/>
    <w:basedOn w:val="7"/>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2026-08-18T11:06:00Z</dcterms:created>
  <dc:creator>开瑞</dc:creator>
  <cp:lastModifiedBy>开瑞</cp:lastModifiedBy>
  <dcterms:modified xsi:type="dcterms:W3CDTF">2026-08-18T11:07:19Z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C22E7251E04F4FDDBDCF387F3DA29EF8_11</vt:lpwstr>
  </property>
  <property fmtid="{D5CDD505-2E9C-101B-9397-08002B2CF9AE}" pid="4" name="KSOTemplateDocerSaveRecord">
    <vt:lpwstr>eyJoZGlkIjoiYmFlMzhiZDNmYmJmZGRiZmViOTBlY2QzZmNjZjk0OTIiLCJ1c2VySWQiOiIxMTIxOTQ2NjQ4In0=</vt:lpwstr>
  </property>
</Properties>
</file>